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CC99C" w14:textId="674FDB43" w:rsidR="006E14ED" w:rsidRPr="004B6DA9" w:rsidRDefault="006E14ED" w:rsidP="006E14ED">
      <w:pPr>
        <w:spacing w:line="240" w:lineRule="auto"/>
        <w:rPr>
          <w:rFonts w:ascii="Arial" w:hAnsi="Arial" w:cs="Arial"/>
          <w:b/>
          <w:bCs/>
          <w:color w:val="404040" w:themeColor="text1" w:themeTint="BF"/>
          <w:sz w:val="24"/>
          <w:szCs w:val="24"/>
        </w:rPr>
      </w:pPr>
      <w:r w:rsidRPr="004B6DA9">
        <w:rPr>
          <w:rFonts w:ascii="Arial" w:hAnsi="Arial" w:cs="Arial"/>
          <w:b/>
          <w:bCs/>
          <w:color w:val="404040" w:themeColor="text1" w:themeTint="BF"/>
          <w:sz w:val="24"/>
          <w:szCs w:val="24"/>
        </w:rPr>
        <w:t xml:space="preserve">STEC </w:t>
      </w:r>
      <w:r w:rsidR="000074FB">
        <w:rPr>
          <w:rFonts w:ascii="Arial" w:hAnsi="Arial" w:cs="Arial"/>
          <w:b/>
          <w:bCs/>
          <w:color w:val="404040" w:themeColor="text1" w:themeTint="BF"/>
          <w:sz w:val="24"/>
          <w:szCs w:val="24"/>
        </w:rPr>
        <w:t>Guidance: Raven’s 2 Progressive Matrices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4B6DA9" w14:paraId="7B3CC99F" w14:textId="77777777" w:rsidTr="00AB5C99">
        <w:tc>
          <w:tcPr>
            <w:tcW w:w="3397" w:type="dxa"/>
          </w:tcPr>
          <w:p w14:paraId="7B3CC99D" w14:textId="77777777" w:rsidR="006E14ED" w:rsidRPr="004B6DA9" w:rsidRDefault="006E14ED" w:rsidP="00AB5C99">
            <w:pPr>
              <w:spacing w:after="0" w:line="240" w:lineRule="auto"/>
              <w:rPr>
                <w:rFonts w:ascii="Arial" w:hAnsi="Arial" w:cs="Arial"/>
                <w:b/>
                <w:color w:val="404040" w:themeColor="text1" w:themeTint="BF"/>
                <w:sz w:val="20"/>
                <w:szCs w:val="20"/>
              </w:rPr>
            </w:pPr>
            <w:r w:rsidRPr="004B6DA9">
              <w:rPr>
                <w:rFonts w:ascii="Arial" w:hAnsi="Arial" w:cs="Arial"/>
                <w:b/>
                <w:color w:val="404040" w:themeColor="text1" w:themeTint="BF"/>
                <w:sz w:val="20"/>
                <w:szCs w:val="20"/>
              </w:rPr>
              <w:t>PURPOSE OF REVIEW</w:t>
            </w:r>
          </w:p>
        </w:tc>
        <w:tc>
          <w:tcPr>
            <w:tcW w:w="5619" w:type="dxa"/>
          </w:tcPr>
          <w:p w14:paraId="7B3CC99E"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To ascertain whether the test is appropriate for inclusion in the list of Suitable Tests for the Assessment of Specific Learning Difficulties (</w:t>
            </w:r>
            <w:proofErr w:type="spellStart"/>
            <w:r w:rsidRPr="004B6DA9">
              <w:rPr>
                <w:rFonts w:ascii="Arial" w:hAnsi="Arial" w:cs="Arial"/>
                <w:color w:val="404040" w:themeColor="text1" w:themeTint="BF"/>
                <w:sz w:val="20"/>
                <w:szCs w:val="20"/>
              </w:rPr>
              <w:t>SpLD</w:t>
            </w:r>
            <w:proofErr w:type="spellEnd"/>
            <w:r w:rsidRPr="004B6DA9">
              <w:rPr>
                <w:rFonts w:ascii="Arial" w:hAnsi="Arial" w:cs="Arial"/>
                <w:color w:val="404040" w:themeColor="text1" w:themeTint="BF"/>
                <w:sz w:val="20"/>
                <w:szCs w:val="20"/>
              </w:rPr>
              <w:t xml:space="preserve">) </w:t>
            </w:r>
          </w:p>
        </w:tc>
      </w:tr>
      <w:tr w:rsidR="006E14ED" w:rsidRPr="004B6DA9" w14:paraId="7B3CC9A2" w14:textId="77777777" w:rsidTr="00AB5C99">
        <w:tc>
          <w:tcPr>
            <w:tcW w:w="3397" w:type="dxa"/>
          </w:tcPr>
          <w:p w14:paraId="7B3CC9A0" w14:textId="77777777" w:rsidR="006E14ED" w:rsidRPr="004B6DA9" w:rsidRDefault="006E14ED" w:rsidP="00B427BE">
            <w:pPr>
              <w:spacing w:after="0" w:line="240" w:lineRule="auto"/>
              <w:rPr>
                <w:rFonts w:ascii="Arial" w:hAnsi="Arial" w:cs="Arial"/>
                <w:b/>
                <w:color w:val="404040" w:themeColor="text1" w:themeTint="BF"/>
                <w:sz w:val="20"/>
                <w:szCs w:val="20"/>
              </w:rPr>
            </w:pPr>
            <w:r w:rsidRPr="004B6DA9">
              <w:rPr>
                <w:rFonts w:ascii="Arial" w:hAnsi="Arial" w:cs="Arial"/>
                <w:b/>
                <w:color w:val="404040" w:themeColor="text1" w:themeTint="BF"/>
                <w:sz w:val="20"/>
                <w:szCs w:val="20"/>
              </w:rPr>
              <w:t>DATE OF REVIEW</w:t>
            </w:r>
          </w:p>
        </w:tc>
        <w:tc>
          <w:tcPr>
            <w:tcW w:w="5619" w:type="dxa"/>
          </w:tcPr>
          <w:p w14:paraId="7B3CC9A1" w14:textId="77777777" w:rsidR="006E14ED" w:rsidRPr="004B6DA9" w:rsidRDefault="006E14ED" w:rsidP="00B427BE">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06/05/2020 </w:t>
            </w:r>
          </w:p>
        </w:tc>
      </w:tr>
    </w:tbl>
    <w:p w14:paraId="7B3CC9A3" w14:textId="77777777" w:rsidR="006E14ED" w:rsidRPr="004B6DA9" w:rsidRDefault="006E14ED" w:rsidP="006E14ED">
      <w:pPr>
        <w:rPr>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4B6DA9" w14:paraId="7B3CC9A5" w14:textId="77777777" w:rsidTr="00AB5C99">
        <w:tc>
          <w:tcPr>
            <w:tcW w:w="9016" w:type="dxa"/>
            <w:gridSpan w:val="2"/>
          </w:tcPr>
          <w:p w14:paraId="7B3CC9A4"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b/>
                <w:color w:val="404040" w:themeColor="text1" w:themeTint="BF"/>
                <w:sz w:val="20"/>
                <w:szCs w:val="20"/>
              </w:rPr>
              <w:t>GENERAL INFORMATION</w:t>
            </w:r>
          </w:p>
        </w:tc>
      </w:tr>
      <w:tr w:rsidR="006E14ED" w:rsidRPr="006E14ED" w14:paraId="7B3CC9A8" w14:textId="77777777" w:rsidTr="00AB5C99">
        <w:tc>
          <w:tcPr>
            <w:tcW w:w="3397" w:type="dxa"/>
          </w:tcPr>
          <w:p w14:paraId="7B3CC9A6"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Test</w:t>
            </w:r>
          </w:p>
        </w:tc>
        <w:tc>
          <w:tcPr>
            <w:tcW w:w="5619" w:type="dxa"/>
          </w:tcPr>
          <w:p w14:paraId="7B3CC9A7" w14:textId="77777777" w:rsidR="006E14ED" w:rsidRPr="006E14ED" w:rsidRDefault="006E14ED" w:rsidP="006E14ED">
            <w:pPr>
              <w:spacing w:after="0" w:line="240" w:lineRule="auto"/>
              <w:rPr>
                <w:rFonts w:ascii="Arial" w:hAnsi="Arial" w:cs="Arial"/>
                <w:color w:val="404040" w:themeColor="text1" w:themeTint="BF"/>
                <w:sz w:val="20"/>
                <w:szCs w:val="20"/>
                <w:lang w:val="fr-FR"/>
              </w:rPr>
            </w:pPr>
            <w:r w:rsidRPr="00A41FFD">
              <w:rPr>
                <w:rFonts w:ascii="Arial" w:hAnsi="Arial" w:cs="Arial"/>
                <w:b/>
                <w:color w:val="404040" w:themeColor="text1" w:themeTint="BF"/>
                <w:sz w:val="20"/>
                <w:szCs w:val="20"/>
                <w:lang w:val="fr-FR"/>
              </w:rPr>
              <w:t>Raven’s 2 Progressive Matrices</w:t>
            </w:r>
            <w:r w:rsidRPr="006E14ED">
              <w:rPr>
                <w:rFonts w:ascii="Arial" w:hAnsi="Arial" w:cs="Arial"/>
                <w:color w:val="404040" w:themeColor="text1" w:themeTint="BF"/>
                <w:sz w:val="20"/>
                <w:szCs w:val="20"/>
                <w:lang w:val="fr-FR"/>
              </w:rPr>
              <w:t xml:space="preserve"> European </w:t>
            </w:r>
            <w:r>
              <w:rPr>
                <w:rFonts w:ascii="Arial" w:hAnsi="Arial" w:cs="Arial"/>
                <w:color w:val="404040" w:themeColor="text1" w:themeTint="BF"/>
                <w:sz w:val="20"/>
                <w:szCs w:val="20"/>
                <w:lang w:val="fr-FR"/>
              </w:rPr>
              <w:t>Clinical Edition, Pearson Clinical</w:t>
            </w:r>
          </w:p>
        </w:tc>
      </w:tr>
      <w:tr w:rsidR="006E14ED" w:rsidRPr="004B6DA9" w14:paraId="7B3CC9AC" w14:textId="77777777" w:rsidTr="00AB5C99">
        <w:tc>
          <w:tcPr>
            <w:tcW w:w="3397" w:type="dxa"/>
          </w:tcPr>
          <w:p w14:paraId="7B3CC9A9"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Publishers</w:t>
            </w:r>
          </w:p>
        </w:tc>
        <w:tc>
          <w:tcPr>
            <w:tcW w:w="5619" w:type="dxa"/>
          </w:tcPr>
          <w:p w14:paraId="7B3CC9AA" w14:textId="77777777" w:rsidR="006E14ED" w:rsidRPr="004B6DA9" w:rsidRDefault="006E14ED" w:rsidP="00AB5C99">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Pearson Education Inc. </w:t>
            </w:r>
            <w:r w:rsidRPr="004B6DA9">
              <w:rPr>
                <w:rFonts w:ascii="Arial" w:hAnsi="Arial" w:cs="Arial"/>
                <w:color w:val="404040" w:themeColor="text1" w:themeTint="BF"/>
                <w:sz w:val="20"/>
                <w:szCs w:val="20"/>
              </w:rPr>
              <w:t>(201</w:t>
            </w:r>
            <w:r>
              <w:rPr>
                <w:rFonts w:ascii="Arial" w:hAnsi="Arial" w:cs="Arial"/>
                <w:color w:val="404040" w:themeColor="text1" w:themeTint="BF"/>
                <w:sz w:val="20"/>
                <w:szCs w:val="20"/>
              </w:rPr>
              <w:t>8</w:t>
            </w:r>
            <w:r w:rsidRPr="004B6DA9">
              <w:rPr>
                <w:rFonts w:ascii="Arial" w:hAnsi="Arial" w:cs="Arial"/>
                <w:color w:val="404040" w:themeColor="text1" w:themeTint="BF"/>
                <w:sz w:val="20"/>
                <w:szCs w:val="20"/>
              </w:rPr>
              <w:t>)</w:t>
            </w:r>
          </w:p>
          <w:p w14:paraId="7B3CC9AB" w14:textId="77777777" w:rsidR="006E14ED" w:rsidRPr="004B6DA9" w:rsidRDefault="006E14ED" w:rsidP="00AB5C99">
            <w:pPr>
              <w:spacing w:after="0" w:line="240" w:lineRule="auto"/>
              <w:rPr>
                <w:rFonts w:ascii="Arial" w:hAnsi="Arial" w:cs="Arial"/>
                <w:color w:val="404040" w:themeColor="text1" w:themeTint="BF"/>
                <w:sz w:val="20"/>
                <w:szCs w:val="20"/>
              </w:rPr>
            </w:pPr>
          </w:p>
        </w:tc>
      </w:tr>
      <w:tr w:rsidR="006E14ED" w:rsidRPr="004B6DA9" w14:paraId="7B3CC9AF" w14:textId="77777777" w:rsidTr="00AB5C99">
        <w:tc>
          <w:tcPr>
            <w:tcW w:w="3397" w:type="dxa"/>
          </w:tcPr>
          <w:p w14:paraId="7B3CC9AD"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UK/US/Other</w:t>
            </w:r>
          </w:p>
        </w:tc>
        <w:tc>
          <w:tcPr>
            <w:tcW w:w="5619" w:type="dxa"/>
          </w:tcPr>
          <w:p w14:paraId="7B3CC9AE" w14:textId="77777777" w:rsidR="006E14ED" w:rsidRPr="004B6DA9" w:rsidRDefault="006E14ED" w:rsidP="00AB5C99">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European norms</w:t>
            </w:r>
          </w:p>
        </w:tc>
      </w:tr>
      <w:tr w:rsidR="006E14ED" w:rsidRPr="004B6DA9" w14:paraId="7B3CC9B3" w14:textId="77777777" w:rsidTr="00AB5C99">
        <w:tc>
          <w:tcPr>
            <w:tcW w:w="3397" w:type="dxa"/>
          </w:tcPr>
          <w:p w14:paraId="7B3CC9B0"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 xml:space="preserve">Date of standardisation / </w:t>
            </w:r>
          </w:p>
          <w:p w14:paraId="7B3CC9B1"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re-standardisation</w:t>
            </w:r>
          </w:p>
        </w:tc>
        <w:tc>
          <w:tcPr>
            <w:tcW w:w="5619" w:type="dxa"/>
          </w:tcPr>
          <w:p w14:paraId="7B3CC9B2" w14:textId="77777777" w:rsidR="006E14ED" w:rsidRPr="004B6DA9" w:rsidRDefault="006E14ED" w:rsidP="00D20D4C">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Earlier versions were published as Raven’s Progressive Matrices, including Raven’s Coloured Progressive Matrices (1947), Raven’s </w:t>
            </w:r>
            <w:r w:rsidR="00D20D4C">
              <w:rPr>
                <w:rFonts w:ascii="Arial" w:hAnsi="Arial" w:cs="Arial"/>
                <w:color w:val="404040" w:themeColor="text1" w:themeTint="BF"/>
                <w:sz w:val="20"/>
                <w:szCs w:val="20"/>
              </w:rPr>
              <w:t>S</w:t>
            </w:r>
            <w:r>
              <w:rPr>
                <w:rFonts w:ascii="Arial" w:hAnsi="Arial" w:cs="Arial"/>
                <w:color w:val="404040" w:themeColor="text1" w:themeTint="BF"/>
                <w:sz w:val="20"/>
                <w:szCs w:val="20"/>
              </w:rPr>
              <w:t xml:space="preserve">tandard Progressive Matrices (1938) and Raven’s Advanced Progressive Matrices (1962). From 1967-1995, many norm validation and regional standardisation studies were conducted. </w:t>
            </w:r>
          </w:p>
        </w:tc>
      </w:tr>
      <w:tr w:rsidR="006E14ED" w:rsidRPr="004B6DA9" w14:paraId="7B3CC9B6" w14:textId="77777777" w:rsidTr="00AB5C99">
        <w:tc>
          <w:tcPr>
            <w:tcW w:w="3397" w:type="dxa"/>
          </w:tcPr>
          <w:p w14:paraId="7B3CC9B4"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Age range</w:t>
            </w:r>
          </w:p>
        </w:tc>
        <w:tc>
          <w:tcPr>
            <w:tcW w:w="5619" w:type="dxa"/>
          </w:tcPr>
          <w:p w14:paraId="7B3CC9B5" w14:textId="77777777" w:rsidR="00D20D4C" w:rsidRPr="004B6DA9" w:rsidRDefault="00D20D4C" w:rsidP="006E14ED">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4.0- 69.11 </w:t>
            </w:r>
          </w:p>
        </w:tc>
      </w:tr>
      <w:tr w:rsidR="006E14ED" w:rsidRPr="004B6DA9" w14:paraId="7B3CC9B9" w14:textId="77777777" w:rsidTr="00AB5C99">
        <w:tc>
          <w:tcPr>
            <w:tcW w:w="3397" w:type="dxa"/>
          </w:tcPr>
          <w:p w14:paraId="7B3CC9B7" w14:textId="77777777" w:rsidR="006E14ED" w:rsidRPr="004B6DA9" w:rsidRDefault="006E14ED" w:rsidP="00AB5C99">
            <w:pPr>
              <w:spacing w:after="0" w:line="240" w:lineRule="auto"/>
              <w:rPr>
                <w:rFonts w:ascii="Arial" w:hAnsi="Arial" w:cs="Arial"/>
                <w:color w:val="404040" w:themeColor="text1" w:themeTint="BF"/>
                <w:sz w:val="20"/>
                <w:szCs w:val="20"/>
              </w:rPr>
            </w:pPr>
            <w:r w:rsidRPr="004B6DA9">
              <w:rPr>
                <w:rFonts w:ascii="Arial" w:hAnsi="Arial" w:cs="Arial"/>
                <w:color w:val="404040" w:themeColor="text1" w:themeTint="BF"/>
                <w:sz w:val="20"/>
                <w:szCs w:val="20"/>
              </w:rPr>
              <w:t xml:space="preserve">Open/Closed </w:t>
            </w:r>
          </w:p>
        </w:tc>
        <w:tc>
          <w:tcPr>
            <w:tcW w:w="5619" w:type="dxa"/>
          </w:tcPr>
          <w:p w14:paraId="7B3CC9B8" w14:textId="77777777" w:rsidR="006E14ED" w:rsidRPr="004B6DA9" w:rsidRDefault="006E14ED" w:rsidP="00AB5C99">
            <w:pPr>
              <w:pStyle w:val="NoSpacing"/>
              <w:rPr>
                <w:color w:val="404040" w:themeColor="text1" w:themeTint="BF"/>
              </w:rPr>
            </w:pPr>
            <w:r w:rsidRPr="004B6DA9">
              <w:rPr>
                <w:color w:val="404040" w:themeColor="text1" w:themeTint="BF"/>
              </w:rPr>
              <w:t>Open</w:t>
            </w:r>
            <w:r w:rsidR="00D20D4C">
              <w:rPr>
                <w:color w:val="404040" w:themeColor="text1" w:themeTint="BF"/>
              </w:rPr>
              <w:t xml:space="preserve"> to all with appropriate professional training.</w:t>
            </w:r>
          </w:p>
        </w:tc>
      </w:tr>
    </w:tbl>
    <w:p w14:paraId="7B3CC9BA" w14:textId="77777777" w:rsidR="006E14ED" w:rsidRPr="004B6DA9" w:rsidRDefault="006E14ED" w:rsidP="006E14ED">
      <w:pPr>
        <w:rPr>
          <w:color w:val="404040" w:themeColor="text1" w:themeTint="B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4B6DA9" w14:paraId="7B3CC9BC" w14:textId="77777777" w:rsidTr="00AB5C99">
        <w:tc>
          <w:tcPr>
            <w:tcW w:w="9016" w:type="dxa"/>
            <w:gridSpan w:val="2"/>
          </w:tcPr>
          <w:p w14:paraId="7B3CC9BB" w14:textId="77777777" w:rsidR="006E14ED" w:rsidRPr="004B6DA9" w:rsidRDefault="006E14ED" w:rsidP="00AB5C99">
            <w:pPr>
              <w:pStyle w:val="NoSpacing"/>
              <w:rPr>
                <w:b/>
                <w:color w:val="404040" w:themeColor="text1" w:themeTint="BF"/>
              </w:rPr>
            </w:pPr>
            <w:r w:rsidRPr="004B6DA9">
              <w:rPr>
                <w:b/>
                <w:color w:val="404040" w:themeColor="text1" w:themeTint="BF"/>
              </w:rPr>
              <w:t>PRACTICAL CONSIDERATIONS</w:t>
            </w:r>
          </w:p>
        </w:tc>
      </w:tr>
      <w:tr w:rsidR="006E14ED" w:rsidRPr="00ED438F" w14:paraId="7B3CC9D0" w14:textId="77777777" w:rsidTr="00AB5C99">
        <w:tc>
          <w:tcPr>
            <w:tcW w:w="3397" w:type="dxa"/>
          </w:tcPr>
          <w:p w14:paraId="7B3CC9BD"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Apparent ease or difficulty of administration and scoring, from reading through the instructions.</w:t>
            </w:r>
          </w:p>
        </w:tc>
        <w:tc>
          <w:tcPr>
            <w:tcW w:w="5619" w:type="dxa"/>
          </w:tcPr>
          <w:p w14:paraId="7B3CC9BE" w14:textId="77777777" w:rsidR="00B12252" w:rsidRDefault="006E14ED" w:rsidP="00AB5C99">
            <w:pPr>
              <w:pStyle w:val="NoSpacing"/>
              <w:rPr>
                <w:rFonts w:ascii="Arial" w:hAnsi="Arial" w:cs="Arial"/>
                <w:b/>
                <w:color w:val="404040" w:themeColor="text1" w:themeTint="BF"/>
                <w:sz w:val="20"/>
                <w:szCs w:val="20"/>
              </w:rPr>
            </w:pPr>
            <w:r w:rsidRPr="00ED438F">
              <w:rPr>
                <w:rFonts w:ascii="Arial" w:hAnsi="Arial" w:cs="Arial"/>
                <w:b/>
                <w:color w:val="404040" w:themeColor="text1" w:themeTint="BF"/>
                <w:sz w:val="20"/>
                <w:szCs w:val="20"/>
              </w:rPr>
              <w:t>Area Assessed</w:t>
            </w:r>
            <w:r w:rsidR="00A5657F">
              <w:rPr>
                <w:rFonts w:ascii="Arial" w:hAnsi="Arial" w:cs="Arial"/>
                <w:b/>
                <w:color w:val="404040" w:themeColor="text1" w:themeTint="BF"/>
                <w:sz w:val="20"/>
                <w:szCs w:val="20"/>
              </w:rPr>
              <w:t xml:space="preserve"> </w:t>
            </w:r>
          </w:p>
          <w:p w14:paraId="7B3CC9BF" w14:textId="77777777" w:rsidR="00B12252" w:rsidRDefault="00B12252" w:rsidP="00AB5C99">
            <w:pPr>
              <w:pStyle w:val="NoSpacing"/>
              <w:rPr>
                <w:rFonts w:ascii="Arial" w:hAnsi="Arial" w:cs="Arial"/>
                <w:b/>
                <w:color w:val="404040" w:themeColor="text1" w:themeTint="BF"/>
                <w:sz w:val="20"/>
                <w:szCs w:val="20"/>
              </w:rPr>
            </w:pPr>
          </w:p>
          <w:p w14:paraId="7B3CC9C0" w14:textId="77777777" w:rsidR="006E14ED" w:rsidRDefault="00A5657F" w:rsidP="00AB5C99">
            <w:pPr>
              <w:pStyle w:val="NoSpacing"/>
              <w:rPr>
                <w:rFonts w:ascii="Arial" w:hAnsi="Arial" w:cs="Arial"/>
                <w:color w:val="404040" w:themeColor="text1" w:themeTint="BF"/>
                <w:sz w:val="20"/>
                <w:szCs w:val="20"/>
              </w:rPr>
            </w:pPr>
            <w:r w:rsidRPr="00A5657F">
              <w:rPr>
                <w:rFonts w:ascii="Arial" w:hAnsi="Arial" w:cs="Arial"/>
                <w:color w:val="404040" w:themeColor="text1" w:themeTint="BF"/>
                <w:sz w:val="20"/>
                <w:szCs w:val="20"/>
              </w:rPr>
              <w:t>The Raven’s 2 is</w:t>
            </w:r>
            <w:r>
              <w:rPr>
                <w:rFonts w:ascii="Arial" w:hAnsi="Arial" w:cs="Arial"/>
                <w:b/>
                <w:color w:val="404040" w:themeColor="text1" w:themeTint="BF"/>
                <w:sz w:val="20"/>
                <w:szCs w:val="20"/>
              </w:rPr>
              <w:t xml:space="preserve"> </w:t>
            </w:r>
            <w:r w:rsidRPr="00A5657F">
              <w:rPr>
                <w:rFonts w:ascii="Arial" w:hAnsi="Arial" w:cs="Arial"/>
                <w:color w:val="404040" w:themeColor="text1" w:themeTint="BF"/>
                <w:sz w:val="20"/>
                <w:szCs w:val="20"/>
              </w:rPr>
              <w:t xml:space="preserve">a </w:t>
            </w:r>
            <w:r w:rsidRPr="00A5657F">
              <w:rPr>
                <w:rFonts w:ascii="Arial" w:hAnsi="Arial" w:cs="Arial"/>
                <w:b/>
                <w:color w:val="404040" w:themeColor="text1" w:themeTint="BF"/>
                <w:sz w:val="20"/>
                <w:szCs w:val="20"/>
              </w:rPr>
              <w:t>non-verbal test of general cognitive ability</w:t>
            </w:r>
            <w:r w:rsidR="00466349">
              <w:rPr>
                <w:rFonts w:ascii="Arial" w:hAnsi="Arial" w:cs="Arial"/>
                <w:b/>
                <w:color w:val="404040" w:themeColor="text1" w:themeTint="BF"/>
                <w:sz w:val="20"/>
                <w:szCs w:val="20"/>
              </w:rPr>
              <w:t>/intelligence</w:t>
            </w:r>
            <w:r>
              <w:rPr>
                <w:rFonts w:ascii="Arial" w:hAnsi="Arial" w:cs="Arial"/>
                <w:color w:val="404040" w:themeColor="text1" w:themeTint="BF"/>
                <w:sz w:val="20"/>
                <w:szCs w:val="20"/>
              </w:rPr>
              <w:t xml:space="preserve"> or ‘</w:t>
            </w:r>
            <w:r w:rsidRPr="00466349">
              <w:rPr>
                <w:rFonts w:ascii="Arial" w:hAnsi="Arial" w:cs="Arial"/>
                <w:b/>
                <w:i/>
                <w:color w:val="404040" w:themeColor="text1" w:themeTint="BF"/>
                <w:sz w:val="20"/>
                <w:szCs w:val="20"/>
              </w:rPr>
              <w:t>g</w:t>
            </w:r>
            <w:r>
              <w:rPr>
                <w:rFonts w:ascii="Arial" w:hAnsi="Arial" w:cs="Arial"/>
                <w:color w:val="404040" w:themeColor="text1" w:themeTint="BF"/>
                <w:sz w:val="20"/>
                <w:szCs w:val="20"/>
              </w:rPr>
              <w:t>’ as it is frequently termed. Specifically, the test claims to capture ‘</w:t>
            </w:r>
            <w:proofErr w:type="spellStart"/>
            <w:r w:rsidRPr="00A5657F">
              <w:rPr>
                <w:rFonts w:ascii="Arial" w:hAnsi="Arial" w:cs="Arial"/>
                <w:b/>
                <w:color w:val="404040" w:themeColor="text1" w:themeTint="BF"/>
                <w:sz w:val="20"/>
                <w:szCs w:val="20"/>
              </w:rPr>
              <w:t>eductive</w:t>
            </w:r>
            <w:proofErr w:type="spellEnd"/>
            <w:r w:rsidRPr="00A5657F">
              <w:rPr>
                <w:rFonts w:ascii="Arial" w:hAnsi="Arial" w:cs="Arial"/>
                <w:b/>
                <w:color w:val="404040" w:themeColor="text1" w:themeTint="BF"/>
                <w:sz w:val="20"/>
                <w:szCs w:val="20"/>
              </w:rPr>
              <w:t>’ ability</w:t>
            </w:r>
            <w:r>
              <w:rPr>
                <w:rFonts w:ascii="Arial" w:hAnsi="Arial" w:cs="Arial"/>
                <w:color w:val="404040" w:themeColor="text1" w:themeTint="BF"/>
                <w:sz w:val="20"/>
                <w:szCs w:val="20"/>
              </w:rPr>
              <w:t xml:space="preserve">…the </w:t>
            </w:r>
            <w:r w:rsidRPr="00466349">
              <w:rPr>
                <w:rFonts w:ascii="Arial" w:hAnsi="Arial" w:cs="Arial"/>
                <w:b/>
                <w:color w:val="404040" w:themeColor="text1" w:themeTint="BF"/>
                <w:sz w:val="20"/>
                <w:szCs w:val="20"/>
              </w:rPr>
              <w:t>ability to think clearly and solve complex problems</w:t>
            </w:r>
            <w:r>
              <w:rPr>
                <w:rFonts w:ascii="Arial" w:hAnsi="Arial" w:cs="Arial"/>
                <w:color w:val="404040" w:themeColor="text1" w:themeTint="BF"/>
                <w:sz w:val="20"/>
                <w:szCs w:val="20"/>
              </w:rPr>
              <w:t xml:space="preserve">. </w:t>
            </w:r>
            <w:r w:rsidR="00B12252">
              <w:rPr>
                <w:rFonts w:ascii="Arial" w:hAnsi="Arial" w:cs="Arial"/>
                <w:color w:val="404040" w:themeColor="text1" w:themeTint="BF"/>
                <w:sz w:val="20"/>
                <w:szCs w:val="20"/>
              </w:rPr>
              <w:t>In a somewhat convoluted theoretical statement, t</w:t>
            </w:r>
            <w:r w:rsidR="00466349">
              <w:rPr>
                <w:rFonts w:ascii="Arial" w:hAnsi="Arial" w:cs="Arial"/>
                <w:color w:val="404040" w:themeColor="text1" w:themeTint="BF"/>
                <w:sz w:val="20"/>
                <w:szCs w:val="20"/>
              </w:rPr>
              <w:t xml:space="preserve">he authors are keen to point out that </w:t>
            </w:r>
            <w:proofErr w:type="spellStart"/>
            <w:r w:rsidR="00466349">
              <w:rPr>
                <w:rFonts w:ascii="Arial" w:hAnsi="Arial" w:cs="Arial"/>
                <w:color w:val="404040" w:themeColor="text1" w:themeTint="BF"/>
                <w:sz w:val="20"/>
                <w:szCs w:val="20"/>
              </w:rPr>
              <w:t>eductive</w:t>
            </w:r>
            <w:proofErr w:type="spellEnd"/>
            <w:r w:rsidR="00466349">
              <w:rPr>
                <w:rFonts w:ascii="Arial" w:hAnsi="Arial" w:cs="Arial"/>
                <w:color w:val="404040" w:themeColor="text1" w:themeTint="BF"/>
                <w:sz w:val="20"/>
                <w:szCs w:val="20"/>
              </w:rPr>
              <w:t xml:space="preserve"> ability is not the same as ‘</w:t>
            </w:r>
            <w:r w:rsidR="00466349" w:rsidRPr="00466349">
              <w:rPr>
                <w:rFonts w:ascii="Arial" w:hAnsi="Arial" w:cs="Arial"/>
                <w:i/>
                <w:color w:val="404040" w:themeColor="text1" w:themeTint="BF"/>
                <w:sz w:val="20"/>
                <w:szCs w:val="20"/>
              </w:rPr>
              <w:t>g</w:t>
            </w:r>
            <w:r w:rsidR="00466349">
              <w:rPr>
                <w:rFonts w:ascii="Arial" w:hAnsi="Arial" w:cs="Arial"/>
                <w:color w:val="404040" w:themeColor="text1" w:themeTint="BF"/>
                <w:sz w:val="20"/>
                <w:szCs w:val="20"/>
              </w:rPr>
              <w:t xml:space="preserve">’ </w:t>
            </w:r>
            <w:r w:rsidR="00466349" w:rsidRPr="00466349">
              <w:rPr>
                <w:rFonts w:ascii="Arial" w:hAnsi="Arial" w:cs="Arial"/>
                <w:b/>
                <w:color w:val="404040" w:themeColor="text1" w:themeTint="BF"/>
                <w:sz w:val="20"/>
                <w:szCs w:val="20"/>
              </w:rPr>
              <w:t>BUT</w:t>
            </w:r>
            <w:r w:rsidR="00110EFA">
              <w:rPr>
                <w:rFonts w:ascii="Arial" w:hAnsi="Arial" w:cs="Arial"/>
                <w:b/>
                <w:color w:val="404040" w:themeColor="text1" w:themeTint="BF"/>
                <w:sz w:val="20"/>
                <w:szCs w:val="20"/>
              </w:rPr>
              <w:t xml:space="preserve"> </w:t>
            </w:r>
            <w:r w:rsidR="00466349">
              <w:rPr>
                <w:rFonts w:ascii="Arial" w:hAnsi="Arial" w:cs="Arial"/>
                <w:color w:val="404040" w:themeColor="text1" w:themeTint="BF"/>
                <w:sz w:val="20"/>
                <w:szCs w:val="20"/>
              </w:rPr>
              <w:t>the Raven’s tests do appear to be one of the best single measures of general intelligence available. However, ‘</w:t>
            </w:r>
            <w:r w:rsidR="00466349" w:rsidRPr="00466349">
              <w:rPr>
                <w:rFonts w:ascii="Arial" w:hAnsi="Arial" w:cs="Arial"/>
                <w:i/>
                <w:color w:val="404040" w:themeColor="text1" w:themeTint="BF"/>
                <w:sz w:val="20"/>
                <w:szCs w:val="20"/>
              </w:rPr>
              <w:t>g</w:t>
            </w:r>
            <w:r w:rsidR="00466349">
              <w:rPr>
                <w:rFonts w:ascii="Arial" w:hAnsi="Arial" w:cs="Arial"/>
                <w:color w:val="404040" w:themeColor="text1" w:themeTint="BF"/>
                <w:sz w:val="20"/>
                <w:szCs w:val="20"/>
              </w:rPr>
              <w:t xml:space="preserve">’ should not be confused with </w:t>
            </w:r>
            <w:r w:rsidR="00466349" w:rsidRPr="00110EFA">
              <w:rPr>
                <w:rFonts w:ascii="Arial" w:hAnsi="Arial" w:cs="Arial"/>
                <w:i/>
                <w:color w:val="404040" w:themeColor="text1" w:themeTint="BF"/>
                <w:sz w:val="20"/>
                <w:szCs w:val="20"/>
              </w:rPr>
              <w:t xml:space="preserve">general academic </w:t>
            </w:r>
            <w:proofErr w:type="gramStart"/>
            <w:r w:rsidR="00466349" w:rsidRPr="00110EFA">
              <w:rPr>
                <w:rFonts w:ascii="Arial" w:hAnsi="Arial" w:cs="Arial"/>
                <w:i/>
                <w:color w:val="404040" w:themeColor="text1" w:themeTint="BF"/>
                <w:sz w:val="20"/>
                <w:szCs w:val="20"/>
              </w:rPr>
              <w:t>ability</w:t>
            </w:r>
            <w:proofErr w:type="gramEnd"/>
            <w:r w:rsidR="00466349">
              <w:rPr>
                <w:rFonts w:ascii="Arial" w:hAnsi="Arial" w:cs="Arial"/>
                <w:color w:val="404040" w:themeColor="text1" w:themeTint="BF"/>
                <w:sz w:val="20"/>
                <w:szCs w:val="20"/>
              </w:rPr>
              <w:t xml:space="preserve"> and it should not be thought that </w:t>
            </w:r>
            <w:r w:rsidR="00466349" w:rsidRPr="00466349">
              <w:rPr>
                <w:rFonts w:ascii="Arial" w:hAnsi="Arial" w:cs="Arial"/>
                <w:i/>
                <w:color w:val="404040" w:themeColor="text1" w:themeTint="BF"/>
                <w:sz w:val="20"/>
                <w:szCs w:val="20"/>
              </w:rPr>
              <w:t>g</w:t>
            </w:r>
            <w:r w:rsidR="00466349">
              <w:rPr>
                <w:rFonts w:ascii="Arial" w:hAnsi="Arial" w:cs="Arial"/>
                <w:color w:val="404040" w:themeColor="text1" w:themeTint="BF"/>
                <w:sz w:val="20"/>
                <w:szCs w:val="20"/>
              </w:rPr>
              <w:t xml:space="preserve"> encompasses all the abilities necessary for intelligent behaviour, which also include judgement and a store of specialist information. </w:t>
            </w:r>
          </w:p>
          <w:p w14:paraId="7B3CC9C1" w14:textId="77777777" w:rsidR="00584991" w:rsidRDefault="00584991" w:rsidP="00AB5C99">
            <w:pPr>
              <w:pStyle w:val="NoSpacing"/>
              <w:rPr>
                <w:rFonts w:ascii="Arial" w:hAnsi="Arial" w:cs="Arial"/>
                <w:color w:val="404040" w:themeColor="text1" w:themeTint="BF"/>
                <w:sz w:val="20"/>
                <w:szCs w:val="20"/>
              </w:rPr>
            </w:pPr>
          </w:p>
          <w:p w14:paraId="7B3CC9C2" w14:textId="77777777" w:rsidR="00584991" w:rsidRPr="00B12252" w:rsidRDefault="00584991" w:rsidP="00584991">
            <w:pPr>
              <w:pStyle w:val="NoSpacing"/>
              <w:rPr>
                <w:rFonts w:ascii="Arial" w:hAnsi="Arial" w:cs="Arial"/>
                <w:b/>
                <w:color w:val="404040" w:themeColor="text1" w:themeTint="BF"/>
                <w:sz w:val="20"/>
                <w:szCs w:val="20"/>
              </w:rPr>
            </w:pPr>
            <w:r w:rsidRPr="00B12252">
              <w:rPr>
                <w:rFonts w:ascii="Arial" w:hAnsi="Arial" w:cs="Arial"/>
                <w:b/>
                <w:color w:val="404040" w:themeColor="text1" w:themeTint="BF"/>
                <w:sz w:val="20"/>
                <w:szCs w:val="20"/>
              </w:rPr>
              <w:t>Administration</w:t>
            </w:r>
          </w:p>
          <w:p w14:paraId="7B3CC9C3" w14:textId="77777777" w:rsidR="00584991" w:rsidRDefault="00584991" w:rsidP="00584991">
            <w:pPr>
              <w:pStyle w:val="NoSpacing"/>
              <w:rPr>
                <w:rFonts w:ascii="Arial" w:hAnsi="Arial" w:cs="Arial"/>
                <w:color w:val="404040" w:themeColor="text1" w:themeTint="BF"/>
                <w:sz w:val="20"/>
                <w:szCs w:val="20"/>
              </w:rPr>
            </w:pPr>
          </w:p>
          <w:p w14:paraId="7B3CC9C4" w14:textId="77777777" w:rsidR="00B427BE" w:rsidRDefault="00B427BE" w:rsidP="00584991">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The test is available in a digital and a paper form. </w:t>
            </w:r>
          </w:p>
          <w:p w14:paraId="7B3CC9C5" w14:textId="77777777" w:rsidR="00B427BE" w:rsidRDefault="00B427BE" w:rsidP="00584991">
            <w:pPr>
              <w:pStyle w:val="NoSpacing"/>
              <w:rPr>
                <w:rFonts w:ascii="Arial" w:hAnsi="Arial" w:cs="Arial"/>
                <w:color w:val="404040" w:themeColor="text1" w:themeTint="BF"/>
                <w:sz w:val="20"/>
                <w:szCs w:val="20"/>
              </w:rPr>
            </w:pPr>
          </w:p>
          <w:p w14:paraId="7B3CC9C6" w14:textId="77777777" w:rsidR="00584991" w:rsidRDefault="00584991" w:rsidP="00584991">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If the </w:t>
            </w:r>
            <w:r w:rsidRPr="00B12252">
              <w:rPr>
                <w:rFonts w:ascii="Arial" w:hAnsi="Arial" w:cs="Arial"/>
                <w:b/>
                <w:color w:val="404040" w:themeColor="text1" w:themeTint="BF"/>
                <w:sz w:val="20"/>
                <w:szCs w:val="20"/>
              </w:rPr>
              <w:t>digital version</w:t>
            </w:r>
            <w:r>
              <w:rPr>
                <w:rFonts w:ascii="Arial" w:hAnsi="Arial" w:cs="Arial"/>
                <w:color w:val="404040" w:themeColor="text1" w:themeTint="BF"/>
                <w:sz w:val="20"/>
                <w:szCs w:val="20"/>
              </w:rPr>
              <w:t xml:space="preserve"> is used this must be via</w:t>
            </w:r>
            <w:r w:rsidR="00B427BE">
              <w:rPr>
                <w:rFonts w:ascii="Arial" w:hAnsi="Arial" w:cs="Arial"/>
                <w:color w:val="404040" w:themeColor="text1" w:themeTint="BF"/>
                <w:sz w:val="20"/>
                <w:szCs w:val="20"/>
              </w:rPr>
              <w:t xml:space="preserve"> the</w:t>
            </w:r>
            <w:r>
              <w:rPr>
                <w:rFonts w:ascii="Arial" w:hAnsi="Arial" w:cs="Arial"/>
                <w:color w:val="404040" w:themeColor="text1" w:themeTint="BF"/>
                <w:sz w:val="20"/>
                <w:szCs w:val="20"/>
              </w:rPr>
              <w:t xml:space="preserve"> assessor’s computer(s) but</w:t>
            </w:r>
            <w:r w:rsidR="00B427BE">
              <w:rPr>
                <w:rFonts w:ascii="Arial" w:hAnsi="Arial" w:cs="Arial"/>
                <w:color w:val="404040" w:themeColor="text1" w:themeTint="BF"/>
                <w:sz w:val="20"/>
                <w:szCs w:val="20"/>
              </w:rPr>
              <w:t xml:space="preserve"> the test</w:t>
            </w:r>
            <w:r>
              <w:rPr>
                <w:rFonts w:ascii="Arial" w:hAnsi="Arial" w:cs="Arial"/>
                <w:color w:val="404040" w:themeColor="text1" w:themeTint="BF"/>
                <w:sz w:val="20"/>
                <w:szCs w:val="20"/>
              </w:rPr>
              <w:t xml:space="preserve"> can be administered to individuals or groups, provided enough computers are available. This test is </w:t>
            </w:r>
            <w:r w:rsidRPr="00B072AC">
              <w:rPr>
                <w:rFonts w:ascii="Arial" w:hAnsi="Arial" w:cs="Arial"/>
                <w:b/>
                <w:color w:val="404040" w:themeColor="text1" w:themeTint="BF"/>
                <w:sz w:val="20"/>
                <w:szCs w:val="20"/>
              </w:rPr>
              <w:t>NOT</w:t>
            </w:r>
            <w:r>
              <w:rPr>
                <w:rFonts w:ascii="Arial" w:hAnsi="Arial" w:cs="Arial"/>
                <w:color w:val="404040" w:themeColor="text1" w:themeTint="BF"/>
                <w:sz w:val="20"/>
                <w:szCs w:val="20"/>
              </w:rPr>
              <w:t xml:space="preserve"> suitable for use via remote online video platform as the individually generated item bank cannot be shared via a screen sharing platform. For the digital version UK assessors need to register with Pearson’s Q-Global platform.</w:t>
            </w:r>
          </w:p>
          <w:p w14:paraId="7B3CC9C7" w14:textId="77777777" w:rsidR="00584991" w:rsidRDefault="00584991" w:rsidP="00584991">
            <w:pPr>
              <w:pStyle w:val="NoSpacing"/>
              <w:rPr>
                <w:rFonts w:ascii="Arial" w:hAnsi="Arial" w:cs="Arial"/>
                <w:color w:val="404040" w:themeColor="text1" w:themeTint="BF"/>
                <w:sz w:val="20"/>
                <w:szCs w:val="20"/>
              </w:rPr>
            </w:pPr>
          </w:p>
          <w:p w14:paraId="7B3CC9C8" w14:textId="77777777" w:rsidR="00584991" w:rsidRDefault="00584991" w:rsidP="00584991">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There is a </w:t>
            </w:r>
            <w:r w:rsidRPr="00B12252">
              <w:rPr>
                <w:rFonts w:ascii="Arial" w:hAnsi="Arial" w:cs="Arial"/>
                <w:b/>
                <w:color w:val="404040" w:themeColor="text1" w:themeTint="BF"/>
                <w:sz w:val="20"/>
                <w:szCs w:val="20"/>
              </w:rPr>
              <w:t>short</w:t>
            </w:r>
            <w:r>
              <w:rPr>
                <w:rFonts w:ascii="Arial" w:hAnsi="Arial" w:cs="Arial"/>
                <w:color w:val="404040" w:themeColor="text1" w:themeTint="BF"/>
                <w:sz w:val="20"/>
                <w:szCs w:val="20"/>
              </w:rPr>
              <w:t xml:space="preserve"> and a </w:t>
            </w:r>
            <w:r w:rsidRPr="00B12252">
              <w:rPr>
                <w:rFonts w:ascii="Arial" w:hAnsi="Arial" w:cs="Arial"/>
                <w:b/>
                <w:color w:val="404040" w:themeColor="text1" w:themeTint="BF"/>
                <w:sz w:val="20"/>
                <w:szCs w:val="20"/>
              </w:rPr>
              <w:t>long form</w:t>
            </w:r>
            <w:r>
              <w:rPr>
                <w:rFonts w:ascii="Arial" w:hAnsi="Arial" w:cs="Arial"/>
                <w:color w:val="404040" w:themeColor="text1" w:themeTint="BF"/>
                <w:sz w:val="20"/>
                <w:szCs w:val="20"/>
              </w:rPr>
              <w:t xml:space="preserve"> of the digital version. The short form takes approx. 20 mins, the long form a maximum of 45 mins, although discontinue rules can shorten the time taken on the test (after 6 incorrect responses the program terminates the assessment automatically) and for children aged 4-8 there is a </w:t>
            </w:r>
            <w:proofErr w:type="gramStart"/>
            <w:r>
              <w:rPr>
                <w:rFonts w:ascii="Arial" w:hAnsi="Arial" w:cs="Arial"/>
                <w:color w:val="404040" w:themeColor="text1" w:themeTint="BF"/>
                <w:sz w:val="20"/>
                <w:szCs w:val="20"/>
              </w:rPr>
              <w:t>30 minute</w:t>
            </w:r>
            <w:proofErr w:type="gramEnd"/>
            <w:r>
              <w:rPr>
                <w:rFonts w:ascii="Arial" w:hAnsi="Arial" w:cs="Arial"/>
                <w:color w:val="404040" w:themeColor="text1" w:themeTint="BF"/>
                <w:sz w:val="20"/>
                <w:szCs w:val="20"/>
              </w:rPr>
              <w:t xml:space="preserve"> time- limit.  </w:t>
            </w:r>
          </w:p>
          <w:p w14:paraId="7B3CC9C9" w14:textId="77777777" w:rsidR="00584991" w:rsidRDefault="00584991" w:rsidP="00584991">
            <w:pPr>
              <w:pStyle w:val="NoSpacing"/>
              <w:rPr>
                <w:rFonts w:ascii="Arial" w:hAnsi="Arial" w:cs="Arial"/>
                <w:color w:val="404040" w:themeColor="text1" w:themeTint="BF"/>
                <w:sz w:val="20"/>
                <w:szCs w:val="20"/>
              </w:rPr>
            </w:pPr>
          </w:p>
          <w:p w14:paraId="7B3CC9CA" w14:textId="77777777" w:rsidR="00584991" w:rsidRPr="00ED438F" w:rsidRDefault="00584991" w:rsidP="00584991">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lastRenderedPageBreak/>
              <w:t xml:space="preserve">It is straightforward to use the </w:t>
            </w:r>
            <w:r w:rsidRPr="00B12252">
              <w:rPr>
                <w:rFonts w:ascii="Arial" w:hAnsi="Arial" w:cs="Arial"/>
                <w:b/>
                <w:color w:val="404040" w:themeColor="text1" w:themeTint="BF"/>
                <w:sz w:val="20"/>
                <w:szCs w:val="20"/>
              </w:rPr>
              <w:t>paper version</w:t>
            </w:r>
            <w:r>
              <w:rPr>
                <w:rFonts w:ascii="Arial" w:hAnsi="Arial" w:cs="Arial"/>
                <w:color w:val="404040" w:themeColor="text1" w:themeTint="BF"/>
                <w:sz w:val="20"/>
                <w:szCs w:val="20"/>
              </w:rPr>
              <w:t xml:space="preserve">, although this is available only for individual administration. Scoring can be </w:t>
            </w:r>
            <w:r w:rsidR="00B427BE">
              <w:rPr>
                <w:rFonts w:ascii="Arial" w:hAnsi="Arial" w:cs="Arial"/>
                <w:color w:val="404040" w:themeColor="text1" w:themeTint="BF"/>
                <w:sz w:val="20"/>
                <w:szCs w:val="20"/>
              </w:rPr>
              <w:t xml:space="preserve">by hand </w:t>
            </w:r>
            <w:r>
              <w:rPr>
                <w:rFonts w:ascii="Arial" w:hAnsi="Arial" w:cs="Arial"/>
                <w:color w:val="404040" w:themeColor="text1" w:themeTint="BF"/>
                <w:sz w:val="20"/>
                <w:szCs w:val="20"/>
              </w:rPr>
              <w:t>(very easy as a template is provided) or Q-Global can be used for scoring and reporting by entering item responses into the program.  Time limits on the paper form are 30 mins for ages 4.0-8:11 and 45 mins for ages 9.0-69.11. There are no discontinue rules on the paper form</w:t>
            </w:r>
            <w:proofErr w:type="gramStart"/>
            <w:r>
              <w:rPr>
                <w:rFonts w:ascii="Arial" w:hAnsi="Arial" w:cs="Arial"/>
                <w:color w:val="404040" w:themeColor="text1" w:themeTint="BF"/>
                <w:sz w:val="20"/>
                <w:szCs w:val="20"/>
              </w:rPr>
              <w:t>….examinees</w:t>
            </w:r>
            <w:proofErr w:type="gramEnd"/>
            <w:r>
              <w:rPr>
                <w:rFonts w:ascii="Arial" w:hAnsi="Arial" w:cs="Arial"/>
                <w:color w:val="404040" w:themeColor="text1" w:themeTint="BF"/>
                <w:sz w:val="20"/>
                <w:szCs w:val="20"/>
              </w:rPr>
              <w:t xml:space="preserve"> complete all 36 or 48 items. </w:t>
            </w:r>
          </w:p>
          <w:p w14:paraId="7B3CC9CB" w14:textId="77777777" w:rsidR="006E14ED" w:rsidRPr="00ED438F" w:rsidRDefault="006E14ED" w:rsidP="00AB5C99">
            <w:pPr>
              <w:pStyle w:val="NoSpacing"/>
              <w:rPr>
                <w:rFonts w:ascii="Arial" w:hAnsi="Arial" w:cs="Arial"/>
                <w:b/>
                <w:color w:val="404040" w:themeColor="text1" w:themeTint="BF"/>
                <w:sz w:val="20"/>
                <w:szCs w:val="20"/>
              </w:rPr>
            </w:pPr>
          </w:p>
          <w:p w14:paraId="7B3CC9CC" w14:textId="77777777" w:rsidR="006E14ED" w:rsidRDefault="006E14ED" w:rsidP="00AB5C99">
            <w:pPr>
              <w:pStyle w:val="NoSpacing"/>
              <w:rPr>
                <w:rFonts w:ascii="Arial" w:hAnsi="Arial" w:cs="Arial"/>
                <w:b/>
                <w:color w:val="404040" w:themeColor="text1" w:themeTint="BF"/>
                <w:sz w:val="20"/>
                <w:szCs w:val="20"/>
              </w:rPr>
            </w:pPr>
            <w:r w:rsidRPr="00B12252">
              <w:rPr>
                <w:rFonts w:ascii="Arial" w:hAnsi="Arial" w:cs="Arial"/>
                <w:b/>
                <w:color w:val="404040" w:themeColor="text1" w:themeTint="BF"/>
                <w:sz w:val="20"/>
                <w:szCs w:val="20"/>
              </w:rPr>
              <w:t>Scor</w:t>
            </w:r>
            <w:r w:rsidR="00B12252">
              <w:rPr>
                <w:rFonts w:ascii="Arial" w:hAnsi="Arial" w:cs="Arial"/>
                <w:b/>
                <w:color w:val="404040" w:themeColor="text1" w:themeTint="BF"/>
                <w:sz w:val="20"/>
                <w:szCs w:val="20"/>
              </w:rPr>
              <w:t>ing</w:t>
            </w:r>
          </w:p>
          <w:p w14:paraId="7B3CC9CD" w14:textId="77777777" w:rsidR="00B12252" w:rsidRPr="00B12252" w:rsidRDefault="00B12252" w:rsidP="00AB5C99">
            <w:pPr>
              <w:pStyle w:val="NoSpacing"/>
              <w:rPr>
                <w:rFonts w:ascii="Arial" w:hAnsi="Arial" w:cs="Arial"/>
                <w:b/>
                <w:color w:val="404040" w:themeColor="text1" w:themeTint="BF"/>
                <w:sz w:val="20"/>
                <w:szCs w:val="20"/>
              </w:rPr>
            </w:pPr>
          </w:p>
          <w:p w14:paraId="7B3CC9CE" w14:textId="77777777" w:rsidR="006E14ED" w:rsidRPr="00ED438F" w:rsidRDefault="00110EFA" w:rsidP="00AB5C99">
            <w:pPr>
              <w:pStyle w:val="NoSpacing"/>
              <w:rPr>
                <w:rFonts w:ascii="Arial" w:hAnsi="Arial" w:cs="Arial"/>
                <w:color w:val="FF0000"/>
                <w:sz w:val="20"/>
                <w:szCs w:val="20"/>
              </w:rPr>
            </w:pPr>
            <w:r>
              <w:rPr>
                <w:rFonts w:ascii="Arial" w:hAnsi="Arial" w:cs="Arial"/>
                <w:color w:val="404040" w:themeColor="text1" w:themeTint="BF"/>
                <w:sz w:val="20"/>
                <w:szCs w:val="20"/>
              </w:rPr>
              <w:t xml:space="preserve">Scoring is very straightforward, whether undertaken digitally or manually. </w:t>
            </w:r>
          </w:p>
          <w:p w14:paraId="7B3CC9CF" w14:textId="77777777" w:rsidR="006E14ED" w:rsidRPr="00ED438F" w:rsidRDefault="006E14ED" w:rsidP="00584991">
            <w:pPr>
              <w:pStyle w:val="NoSpacing"/>
              <w:rPr>
                <w:rFonts w:ascii="Arial" w:hAnsi="Arial" w:cs="Arial"/>
                <w:color w:val="404040" w:themeColor="text1" w:themeTint="BF"/>
                <w:sz w:val="20"/>
                <w:szCs w:val="20"/>
              </w:rPr>
            </w:pPr>
          </w:p>
        </w:tc>
      </w:tr>
      <w:tr w:rsidR="006E14ED" w:rsidRPr="00ED438F" w14:paraId="7B3CC9D3" w14:textId="77777777" w:rsidTr="00AB5C99">
        <w:tc>
          <w:tcPr>
            <w:tcW w:w="3397" w:type="dxa"/>
          </w:tcPr>
          <w:p w14:paraId="7B3CC9D1"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lastRenderedPageBreak/>
              <w:t>Alternate forms?</w:t>
            </w:r>
          </w:p>
        </w:tc>
        <w:tc>
          <w:tcPr>
            <w:tcW w:w="5619" w:type="dxa"/>
          </w:tcPr>
          <w:p w14:paraId="7B3CC9D2" w14:textId="77777777" w:rsidR="006E14ED" w:rsidRPr="00ED438F" w:rsidRDefault="00110EFA" w:rsidP="00AB5C99">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Only in </w:t>
            </w:r>
            <w:r w:rsidR="00B427BE">
              <w:rPr>
                <w:rFonts w:ascii="Arial" w:hAnsi="Arial" w:cs="Arial"/>
                <w:color w:val="404040" w:themeColor="text1" w:themeTint="BF"/>
                <w:sz w:val="20"/>
                <w:szCs w:val="20"/>
              </w:rPr>
              <w:t xml:space="preserve">the </w:t>
            </w:r>
            <w:r>
              <w:rPr>
                <w:rFonts w:ascii="Arial" w:hAnsi="Arial" w:cs="Arial"/>
                <w:color w:val="404040" w:themeColor="text1" w:themeTint="BF"/>
                <w:sz w:val="20"/>
                <w:szCs w:val="20"/>
              </w:rPr>
              <w:t xml:space="preserve">sense that for the digital test, </w:t>
            </w:r>
            <w:proofErr w:type="gramStart"/>
            <w:r>
              <w:rPr>
                <w:rFonts w:ascii="Arial" w:hAnsi="Arial" w:cs="Arial"/>
                <w:color w:val="404040" w:themeColor="text1" w:themeTint="BF"/>
                <w:sz w:val="20"/>
                <w:szCs w:val="20"/>
              </w:rPr>
              <w:t>each individual</w:t>
            </w:r>
            <w:proofErr w:type="gramEnd"/>
            <w:r>
              <w:rPr>
                <w:rFonts w:ascii="Arial" w:hAnsi="Arial" w:cs="Arial"/>
                <w:color w:val="404040" w:themeColor="text1" w:themeTint="BF"/>
                <w:sz w:val="20"/>
                <w:szCs w:val="20"/>
              </w:rPr>
              <w:t xml:space="preserve"> receives a </w:t>
            </w:r>
            <w:r w:rsidRPr="00110EFA">
              <w:rPr>
                <w:rFonts w:ascii="Arial" w:hAnsi="Arial" w:cs="Arial"/>
                <w:b/>
                <w:color w:val="404040" w:themeColor="text1" w:themeTint="BF"/>
                <w:sz w:val="20"/>
                <w:szCs w:val="20"/>
              </w:rPr>
              <w:t>unique randomly generated set of items.</w:t>
            </w:r>
            <w:r>
              <w:rPr>
                <w:rFonts w:ascii="Arial" w:hAnsi="Arial" w:cs="Arial"/>
                <w:color w:val="404040" w:themeColor="text1" w:themeTint="BF"/>
                <w:sz w:val="20"/>
                <w:szCs w:val="20"/>
              </w:rPr>
              <w:t xml:space="preserve"> </w:t>
            </w:r>
          </w:p>
        </w:tc>
      </w:tr>
    </w:tbl>
    <w:p w14:paraId="7B3CC9D4" w14:textId="77777777" w:rsidR="006E14ED" w:rsidRPr="00ED438F" w:rsidRDefault="006E14ED" w:rsidP="006E14ED">
      <w:pPr>
        <w:rPr>
          <w:rFonts w:ascii="Arial" w:hAnsi="Arial" w:cs="Arial"/>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ED438F" w14:paraId="7B3CC9D7" w14:textId="77777777" w:rsidTr="00AB5C99">
        <w:tc>
          <w:tcPr>
            <w:tcW w:w="3397" w:type="dxa"/>
          </w:tcPr>
          <w:p w14:paraId="7B3CC9D5" w14:textId="77777777" w:rsidR="006E14ED" w:rsidRPr="00ED438F" w:rsidRDefault="006E14ED" w:rsidP="00AB5C99">
            <w:pPr>
              <w:spacing w:after="0" w:line="240" w:lineRule="auto"/>
              <w:rPr>
                <w:rFonts w:ascii="Arial" w:hAnsi="Arial" w:cs="Arial"/>
                <w:b/>
                <w:color w:val="404040" w:themeColor="text1" w:themeTint="BF"/>
                <w:sz w:val="20"/>
                <w:szCs w:val="20"/>
              </w:rPr>
            </w:pPr>
            <w:r w:rsidRPr="00ED438F">
              <w:rPr>
                <w:rFonts w:ascii="Arial" w:hAnsi="Arial" w:cs="Arial"/>
                <w:b/>
                <w:color w:val="404040" w:themeColor="text1" w:themeTint="BF"/>
                <w:sz w:val="20"/>
                <w:szCs w:val="20"/>
              </w:rPr>
              <w:t>NORMS AND STANDARDISATION</w:t>
            </w:r>
          </w:p>
        </w:tc>
        <w:tc>
          <w:tcPr>
            <w:tcW w:w="5619" w:type="dxa"/>
          </w:tcPr>
          <w:p w14:paraId="7B3CC9D6" w14:textId="77777777" w:rsidR="006E14ED" w:rsidRPr="00ED438F" w:rsidRDefault="006E14ED" w:rsidP="00AB5C99">
            <w:pPr>
              <w:pStyle w:val="NoSpacing"/>
              <w:rPr>
                <w:rFonts w:ascii="Arial" w:hAnsi="Arial" w:cs="Arial"/>
                <w:color w:val="404040" w:themeColor="text1" w:themeTint="BF"/>
                <w:sz w:val="20"/>
                <w:szCs w:val="20"/>
              </w:rPr>
            </w:pPr>
          </w:p>
        </w:tc>
      </w:tr>
      <w:tr w:rsidR="006E14ED" w:rsidRPr="00ED438F" w14:paraId="7B3CC9E1" w14:textId="77777777" w:rsidTr="00AB5C99">
        <w:tc>
          <w:tcPr>
            <w:tcW w:w="3397" w:type="dxa"/>
          </w:tcPr>
          <w:p w14:paraId="7B3CC9D8" w14:textId="77777777" w:rsidR="006E14ED" w:rsidRPr="00ED438F" w:rsidRDefault="006E14ED" w:rsidP="006E14ED">
            <w:pPr>
              <w:pStyle w:val="ListParagraph"/>
              <w:numPr>
                <w:ilvl w:val="0"/>
                <w:numId w:val="1"/>
              </w:numPr>
              <w:spacing w:after="0" w:line="240" w:lineRule="auto"/>
              <w:ind w:left="426" w:hanging="426"/>
              <w:rPr>
                <w:rFonts w:ascii="Arial" w:hAnsi="Arial" w:cs="Arial"/>
                <w:color w:val="404040" w:themeColor="text1" w:themeTint="BF"/>
                <w:sz w:val="20"/>
                <w:szCs w:val="20"/>
              </w:rPr>
            </w:pPr>
            <w:proofErr w:type="gramStart"/>
            <w:r w:rsidRPr="00ED438F">
              <w:rPr>
                <w:rFonts w:ascii="Arial" w:hAnsi="Arial" w:cs="Arial"/>
                <w:color w:val="404040" w:themeColor="text1" w:themeTint="BF"/>
                <w:sz w:val="20"/>
                <w:szCs w:val="20"/>
              </w:rPr>
              <w:t>Availability of standard,</w:t>
            </w:r>
            <w:proofErr w:type="gramEnd"/>
            <w:r w:rsidRPr="00ED438F">
              <w:rPr>
                <w:rFonts w:ascii="Arial" w:hAnsi="Arial" w:cs="Arial"/>
                <w:color w:val="404040" w:themeColor="text1" w:themeTint="BF"/>
                <w:sz w:val="20"/>
                <w:szCs w:val="20"/>
              </w:rPr>
              <w:t xml:space="preserve"> scaled or other scores for each subtest.</w:t>
            </w:r>
          </w:p>
          <w:p w14:paraId="7B3CC9D9" w14:textId="77777777" w:rsidR="006E14ED" w:rsidRPr="00ED438F" w:rsidRDefault="006E14ED" w:rsidP="006E14ED">
            <w:pPr>
              <w:pStyle w:val="ListParagraph"/>
              <w:numPr>
                <w:ilvl w:val="0"/>
                <w:numId w:val="1"/>
              </w:numPr>
              <w:spacing w:after="0" w:line="240" w:lineRule="auto"/>
              <w:ind w:left="426" w:hanging="426"/>
              <w:rPr>
                <w:rFonts w:ascii="Arial" w:hAnsi="Arial" w:cs="Arial"/>
                <w:color w:val="404040" w:themeColor="text1" w:themeTint="BF"/>
                <w:sz w:val="20"/>
                <w:szCs w:val="20"/>
              </w:rPr>
            </w:pPr>
            <w:r w:rsidRPr="00ED438F">
              <w:rPr>
                <w:rFonts w:ascii="Arial" w:hAnsi="Arial" w:cs="Arial"/>
                <w:color w:val="404040" w:themeColor="text1" w:themeTint="BF"/>
                <w:sz w:val="20"/>
                <w:szCs w:val="20"/>
              </w:rPr>
              <w:t xml:space="preserve">Do the norms follow a normal distribution or are there </w:t>
            </w:r>
          </w:p>
          <w:p w14:paraId="7B3CC9DA" w14:textId="77777777" w:rsidR="006E14ED" w:rsidRPr="00ED438F" w:rsidRDefault="006E14ED" w:rsidP="006E14ED">
            <w:pPr>
              <w:pStyle w:val="ListParagraph"/>
              <w:numPr>
                <w:ilvl w:val="0"/>
                <w:numId w:val="3"/>
              </w:num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big gaps between scores</w:t>
            </w:r>
          </w:p>
          <w:p w14:paraId="7B3CC9DB" w14:textId="77777777" w:rsidR="006E14ED" w:rsidRPr="00ED438F" w:rsidRDefault="006E14ED" w:rsidP="006E14ED">
            <w:pPr>
              <w:pStyle w:val="ListParagraph"/>
              <w:numPr>
                <w:ilvl w:val="0"/>
                <w:numId w:val="3"/>
              </w:num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low ceiling scores</w:t>
            </w:r>
          </w:p>
          <w:p w14:paraId="7B3CC9DC"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9DD" w14:textId="77777777" w:rsidR="006E14ED" w:rsidRDefault="00110EFA" w:rsidP="00AB5C99">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Standardised scores by age-group are available, as are conversion tables for percentile rank, normal curve equivalents, stanines, descriptive classifications and age equivalents. Confidence intervals can be derived.  </w:t>
            </w:r>
          </w:p>
          <w:p w14:paraId="7B3CC9DE" w14:textId="77777777" w:rsidR="00110EFA" w:rsidRDefault="00110EFA" w:rsidP="00AB5C99">
            <w:pPr>
              <w:pStyle w:val="NoSpacing"/>
              <w:rPr>
                <w:rFonts w:ascii="Arial" w:hAnsi="Arial" w:cs="Arial"/>
                <w:color w:val="404040" w:themeColor="text1" w:themeTint="BF"/>
                <w:sz w:val="20"/>
                <w:szCs w:val="20"/>
              </w:rPr>
            </w:pPr>
          </w:p>
          <w:p w14:paraId="7B3CC9DF" w14:textId="77777777" w:rsidR="00110EFA" w:rsidRPr="00ED438F" w:rsidRDefault="0012050A" w:rsidP="00AB5C99">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Norms follow a normal distribution across the age groups and SSs range from 40-160. </w:t>
            </w:r>
          </w:p>
          <w:p w14:paraId="7B3CC9E0" w14:textId="77777777" w:rsidR="006E14ED" w:rsidRPr="00ED438F" w:rsidRDefault="006E14ED" w:rsidP="00AB5C99">
            <w:pPr>
              <w:pStyle w:val="NoSpacing"/>
              <w:rPr>
                <w:rFonts w:ascii="Arial" w:hAnsi="Arial" w:cs="Arial"/>
                <w:color w:val="404040" w:themeColor="text1" w:themeTint="BF"/>
                <w:sz w:val="20"/>
                <w:szCs w:val="20"/>
              </w:rPr>
            </w:pPr>
          </w:p>
        </w:tc>
      </w:tr>
      <w:tr w:rsidR="006E14ED" w:rsidRPr="00ED438F" w14:paraId="7B3CC9E4" w14:textId="77777777" w:rsidTr="00AB5C99">
        <w:tc>
          <w:tcPr>
            <w:tcW w:w="3397" w:type="dxa"/>
          </w:tcPr>
          <w:p w14:paraId="7B3CC9E2"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Type of standardisation sample (delete as appropriate)</w:t>
            </w:r>
          </w:p>
        </w:tc>
        <w:tc>
          <w:tcPr>
            <w:tcW w:w="5619" w:type="dxa"/>
          </w:tcPr>
          <w:p w14:paraId="7B3CC9E3" w14:textId="77777777" w:rsidR="006E14ED" w:rsidRPr="00ED438F" w:rsidRDefault="006E14ED" w:rsidP="00AB5C99">
            <w:pPr>
              <w:pStyle w:val="NoSpacing"/>
              <w:ind w:left="720"/>
              <w:rPr>
                <w:rFonts w:ascii="Arial" w:hAnsi="Arial" w:cs="Arial"/>
                <w:color w:val="404040" w:themeColor="text1" w:themeTint="BF"/>
                <w:sz w:val="20"/>
                <w:szCs w:val="20"/>
              </w:rPr>
            </w:pPr>
          </w:p>
        </w:tc>
      </w:tr>
      <w:tr w:rsidR="006E14ED" w:rsidRPr="00ED438F" w14:paraId="7B3CC9F0" w14:textId="77777777" w:rsidTr="00AB5C99">
        <w:tc>
          <w:tcPr>
            <w:tcW w:w="3397" w:type="dxa"/>
          </w:tcPr>
          <w:p w14:paraId="7B3CC9E5" w14:textId="77777777" w:rsidR="006E14ED" w:rsidRPr="00ED438F" w:rsidRDefault="006E14ED" w:rsidP="00AB5C99">
            <w:pPr>
              <w:spacing w:after="0" w:line="240" w:lineRule="auto"/>
              <w:rPr>
                <w:rFonts w:ascii="Arial" w:hAnsi="Arial" w:cs="Arial"/>
                <w:i/>
                <w:color w:val="404040" w:themeColor="text1" w:themeTint="BF"/>
                <w:sz w:val="20"/>
                <w:szCs w:val="20"/>
              </w:rPr>
            </w:pPr>
            <w:r w:rsidRPr="00ED438F">
              <w:rPr>
                <w:rFonts w:ascii="Arial" w:hAnsi="Arial" w:cs="Arial"/>
                <w:color w:val="404040" w:themeColor="text1" w:themeTint="BF"/>
                <w:sz w:val="20"/>
                <w:szCs w:val="20"/>
              </w:rPr>
              <w:t>Size and spread of Standardisation Sample: (</w:t>
            </w:r>
            <w:r w:rsidRPr="00ED438F">
              <w:rPr>
                <w:rFonts w:ascii="Arial" w:hAnsi="Arial" w:cs="Arial"/>
                <w:i/>
                <w:color w:val="404040" w:themeColor="text1" w:themeTint="BF"/>
                <w:sz w:val="20"/>
                <w:szCs w:val="20"/>
              </w:rPr>
              <w:t>Also consider representation of age range, socio-economic backgrounds, ethnicity, gender)</w:t>
            </w:r>
          </w:p>
          <w:p w14:paraId="7B3CC9E6" w14:textId="77777777" w:rsidR="006E14ED" w:rsidRPr="00250953" w:rsidRDefault="006E14ED" w:rsidP="00AB5C99">
            <w:pPr>
              <w:spacing w:after="0" w:line="240" w:lineRule="auto"/>
              <w:rPr>
                <w:rFonts w:ascii="Arial" w:hAnsi="Arial" w:cs="Arial"/>
                <w:b/>
                <w:i/>
                <w:color w:val="00B050"/>
                <w:sz w:val="20"/>
                <w:szCs w:val="20"/>
              </w:rPr>
            </w:pPr>
            <w:r w:rsidRPr="00250953">
              <w:rPr>
                <w:rFonts w:ascii="Arial" w:hAnsi="Arial" w:cs="Arial"/>
                <w:b/>
                <w:i/>
                <w:color w:val="00B050"/>
                <w:sz w:val="20"/>
                <w:szCs w:val="20"/>
              </w:rPr>
              <w:t>Green:</w:t>
            </w:r>
          </w:p>
          <w:p w14:paraId="7B3CC9E7" w14:textId="77777777" w:rsidR="006E14ED" w:rsidRPr="00ED438F" w:rsidRDefault="006E14ED" w:rsidP="00AB5C99">
            <w:pPr>
              <w:spacing w:after="0" w:line="240" w:lineRule="auto"/>
              <w:rPr>
                <w:rFonts w:ascii="Arial" w:hAnsi="Arial" w:cs="Arial"/>
                <w:i/>
                <w:color w:val="404040" w:themeColor="text1" w:themeTint="BF"/>
                <w:sz w:val="20"/>
                <w:szCs w:val="20"/>
              </w:rPr>
            </w:pPr>
            <w:r w:rsidRPr="00ED438F">
              <w:rPr>
                <w:rFonts w:ascii="Arial" w:hAnsi="Arial" w:cs="Arial"/>
                <w:i/>
                <w:color w:val="404040" w:themeColor="text1" w:themeTint="BF"/>
                <w:sz w:val="20"/>
                <w:szCs w:val="20"/>
              </w:rPr>
              <w:t>&gt;500 (General Population)</w:t>
            </w:r>
          </w:p>
          <w:p w14:paraId="7B3CC9E8" w14:textId="77777777" w:rsidR="006E14ED" w:rsidRPr="00ED438F" w:rsidRDefault="006E14ED" w:rsidP="00AB5C99">
            <w:pPr>
              <w:spacing w:after="0" w:line="240" w:lineRule="auto"/>
              <w:rPr>
                <w:rFonts w:ascii="Arial" w:hAnsi="Arial" w:cs="Arial"/>
                <w:i/>
                <w:color w:val="404040" w:themeColor="text1" w:themeTint="BF"/>
                <w:sz w:val="20"/>
                <w:szCs w:val="20"/>
              </w:rPr>
            </w:pPr>
            <w:r w:rsidRPr="00ED438F">
              <w:rPr>
                <w:rFonts w:ascii="Arial" w:hAnsi="Arial" w:cs="Arial"/>
                <w:i/>
                <w:color w:val="404040" w:themeColor="text1" w:themeTint="BF"/>
                <w:sz w:val="20"/>
                <w:szCs w:val="20"/>
              </w:rPr>
              <w:t>&gt;100 overall and &gt;50 (</w:t>
            </w:r>
            <w:proofErr w:type="spellStart"/>
            <w:r w:rsidRPr="00ED438F">
              <w:rPr>
                <w:rFonts w:ascii="Arial" w:hAnsi="Arial" w:cs="Arial"/>
                <w:i/>
                <w:color w:val="404040" w:themeColor="text1" w:themeTint="BF"/>
                <w:sz w:val="20"/>
                <w:szCs w:val="20"/>
              </w:rPr>
              <w:t>SpLD</w:t>
            </w:r>
            <w:proofErr w:type="spellEnd"/>
            <w:r w:rsidRPr="00ED438F">
              <w:rPr>
                <w:rFonts w:ascii="Arial" w:hAnsi="Arial" w:cs="Arial"/>
                <w:i/>
                <w:color w:val="404040" w:themeColor="text1" w:themeTint="BF"/>
                <w:sz w:val="20"/>
                <w:szCs w:val="20"/>
              </w:rPr>
              <w:t xml:space="preserve"> Specific)</w:t>
            </w:r>
          </w:p>
        </w:tc>
        <w:tc>
          <w:tcPr>
            <w:tcW w:w="5619" w:type="dxa"/>
          </w:tcPr>
          <w:p w14:paraId="7B3CC9E9" w14:textId="77777777" w:rsidR="006E14ED" w:rsidRPr="00250953" w:rsidRDefault="006E14ED" w:rsidP="00AB5C99">
            <w:pPr>
              <w:pStyle w:val="NoSpacing"/>
              <w:rPr>
                <w:rFonts w:ascii="Arial" w:hAnsi="Arial" w:cs="Arial"/>
                <w:b/>
                <w:color w:val="404040" w:themeColor="text1" w:themeTint="BF"/>
                <w:sz w:val="20"/>
                <w:szCs w:val="20"/>
              </w:rPr>
            </w:pPr>
            <w:r w:rsidRPr="00250953">
              <w:rPr>
                <w:rFonts w:ascii="Arial" w:hAnsi="Arial" w:cs="Arial"/>
                <w:b/>
                <w:color w:val="404040" w:themeColor="text1" w:themeTint="BF"/>
                <w:sz w:val="20"/>
                <w:szCs w:val="20"/>
              </w:rPr>
              <w:t>Standardisation</w:t>
            </w:r>
          </w:p>
          <w:p w14:paraId="7B3CC9EA" w14:textId="77777777" w:rsidR="00250953" w:rsidRDefault="00250953" w:rsidP="007C0911">
            <w:pPr>
              <w:pStyle w:val="NoSpacing"/>
              <w:ind w:left="5"/>
              <w:rPr>
                <w:rFonts w:ascii="Arial" w:hAnsi="Arial" w:cs="Arial"/>
                <w:color w:val="404040" w:themeColor="text1" w:themeTint="BF"/>
                <w:sz w:val="20"/>
                <w:szCs w:val="20"/>
              </w:rPr>
            </w:pPr>
          </w:p>
          <w:p w14:paraId="7B3CC9EB" w14:textId="77777777" w:rsidR="006E14ED" w:rsidRDefault="007C0911" w:rsidP="007C0911">
            <w:pPr>
              <w:pStyle w:val="NoSpacing"/>
              <w:ind w:left="5"/>
              <w:rPr>
                <w:rFonts w:ascii="Arial" w:hAnsi="Arial" w:cs="Arial"/>
                <w:color w:val="404040" w:themeColor="text1" w:themeTint="BF"/>
                <w:sz w:val="20"/>
                <w:szCs w:val="20"/>
              </w:rPr>
            </w:pPr>
            <w:r>
              <w:rPr>
                <w:rFonts w:ascii="Arial" w:hAnsi="Arial" w:cs="Arial"/>
                <w:color w:val="404040" w:themeColor="text1" w:themeTint="BF"/>
                <w:sz w:val="20"/>
                <w:szCs w:val="20"/>
              </w:rPr>
              <w:t>Initial development in the US</w:t>
            </w:r>
            <w:r w:rsidR="00250953">
              <w:rPr>
                <w:rFonts w:ascii="Arial" w:hAnsi="Arial" w:cs="Arial"/>
                <w:color w:val="404040" w:themeColor="text1" w:themeTint="BF"/>
                <w:sz w:val="20"/>
                <w:szCs w:val="20"/>
              </w:rPr>
              <w:t>, w</w:t>
            </w:r>
            <w:r>
              <w:rPr>
                <w:rFonts w:ascii="Arial" w:hAnsi="Arial" w:cs="Arial"/>
                <w:color w:val="404040" w:themeColor="text1" w:themeTint="BF"/>
                <w:sz w:val="20"/>
                <w:szCs w:val="20"/>
              </w:rPr>
              <w:t>here</w:t>
            </w:r>
            <w:r w:rsidR="00250953">
              <w:rPr>
                <w:rFonts w:ascii="Arial" w:hAnsi="Arial" w:cs="Arial"/>
                <w:color w:val="404040" w:themeColor="text1" w:themeTint="BF"/>
                <w:sz w:val="20"/>
                <w:szCs w:val="20"/>
              </w:rPr>
              <w:t xml:space="preserve"> in 2016</w:t>
            </w:r>
            <w:r>
              <w:rPr>
                <w:rFonts w:ascii="Arial" w:hAnsi="Arial" w:cs="Arial"/>
                <w:color w:val="404040" w:themeColor="text1" w:themeTint="BF"/>
                <w:sz w:val="20"/>
                <w:szCs w:val="20"/>
              </w:rPr>
              <w:t xml:space="preserve"> there was a pilot study of newly created test items</w:t>
            </w:r>
            <w:r w:rsidR="00250953">
              <w:rPr>
                <w:rFonts w:ascii="Arial" w:hAnsi="Arial" w:cs="Arial"/>
                <w:color w:val="404040" w:themeColor="text1" w:themeTint="BF"/>
                <w:sz w:val="20"/>
                <w:szCs w:val="20"/>
              </w:rPr>
              <w:t xml:space="preserve"> on </w:t>
            </w:r>
            <w:r>
              <w:rPr>
                <w:rFonts w:ascii="Arial" w:hAnsi="Arial" w:cs="Arial"/>
                <w:color w:val="404040" w:themeColor="text1" w:themeTint="BF"/>
                <w:sz w:val="20"/>
                <w:szCs w:val="20"/>
              </w:rPr>
              <w:t xml:space="preserve">a sample of 1307 individuals aged 4.0-90.11. </w:t>
            </w:r>
            <w:r w:rsidR="00250953">
              <w:rPr>
                <w:rFonts w:ascii="Arial" w:hAnsi="Arial" w:cs="Arial"/>
                <w:color w:val="404040" w:themeColor="text1" w:themeTint="BF"/>
                <w:sz w:val="20"/>
                <w:szCs w:val="20"/>
              </w:rPr>
              <w:t>This was f</w:t>
            </w:r>
            <w:r>
              <w:rPr>
                <w:rFonts w:ascii="Arial" w:hAnsi="Arial" w:cs="Arial"/>
                <w:color w:val="404040" w:themeColor="text1" w:themeTint="BF"/>
                <w:sz w:val="20"/>
                <w:szCs w:val="20"/>
              </w:rPr>
              <w:t>ollowed by a standardisation stage with a sample of 1200</w:t>
            </w:r>
            <w:r w:rsidR="00250953">
              <w:rPr>
                <w:rFonts w:ascii="Arial" w:hAnsi="Arial" w:cs="Arial"/>
                <w:color w:val="404040" w:themeColor="text1" w:themeTint="BF"/>
                <w:sz w:val="20"/>
                <w:szCs w:val="20"/>
              </w:rPr>
              <w:t xml:space="preserve"> individuals</w:t>
            </w:r>
            <w:r>
              <w:rPr>
                <w:rFonts w:ascii="Arial" w:hAnsi="Arial" w:cs="Arial"/>
                <w:color w:val="404040" w:themeColor="text1" w:themeTint="BF"/>
                <w:sz w:val="20"/>
                <w:szCs w:val="20"/>
              </w:rPr>
              <w:t xml:space="preserve"> collected from France, Germany, Netherlands, Flanders, Scandinavia, Spain and UK during 2018-9.  </w:t>
            </w:r>
            <w:r w:rsidR="0012050A">
              <w:rPr>
                <w:rFonts w:ascii="Arial" w:hAnsi="Arial" w:cs="Arial"/>
                <w:color w:val="404040" w:themeColor="text1" w:themeTint="BF"/>
                <w:sz w:val="20"/>
                <w:szCs w:val="20"/>
              </w:rPr>
              <w:t>Sample is s</w:t>
            </w:r>
            <w:r>
              <w:rPr>
                <w:rFonts w:ascii="Arial" w:hAnsi="Arial" w:cs="Arial"/>
                <w:color w:val="404040" w:themeColor="text1" w:themeTint="BF"/>
                <w:sz w:val="20"/>
                <w:szCs w:val="20"/>
              </w:rPr>
              <w:t xml:space="preserve">tratified using census data </w:t>
            </w:r>
            <w:r w:rsidR="0012050A">
              <w:rPr>
                <w:rFonts w:ascii="Arial" w:hAnsi="Arial" w:cs="Arial"/>
                <w:color w:val="404040" w:themeColor="text1" w:themeTint="BF"/>
                <w:sz w:val="20"/>
                <w:szCs w:val="20"/>
              </w:rPr>
              <w:t>by</w:t>
            </w:r>
            <w:r>
              <w:rPr>
                <w:rFonts w:ascii="Arial" w:hAnsi="Arial" w:cs="Arial"/>
                <w:color w:val="404040" w:themeColor="text1" w:themeTint="BF"/>
                <w:sz w:val="20"/>
                <w:szCs w:val="20"/>
              </w:rPr>
              <w:t xml:space="preserve"> age, sex, race/ethnicity/education level/geographic region. </w:t>
            </w:r>
          </w:p>
          <w:p w14:paraId="7B3CC9EC" w14:textId="77777777" w:rsidR="00250953" w:rsidRPr="00ED438F" w:rsidRDefault="00250953" w:rsidP="007C0911">
            <w:pPr>
              <w:pStyle w:val="NoSpacing"/>
              <w:ind w:left="5"/>
              <w:rPr>
                <w:rFonts w:ascii="Arial" w:hAnsi="Arial" w:cs="Arial"/>
                <w:color w:val="404040" w:themeColor="text1" w:themeTint="BF"/>
                <w:sz w:val="20"/>
                <w:szCs w:val="20"/>
              </w:rPr>
            </w:pPr>
          </w:p>
          <w:p w14:paraId="7B3CC9ED" w14:textId="77777777" w:rsidR="006E14ED" w:rsidRPr="0012050A" w:rsidRDefault="006E14ED" w:rsidP="00AB5C99">
            <w:pPr>
              <w:pStyle w:val="NoSpacing"/>
              <w:rPr>
                <w:rFonts w:ascii="Arial" w:hAnsi="Arial" w:cs="Arial"/>
                <w:sz w:val="20"/>
                <w:szCs w:val="20"/>
              </w:rPr>
            </w:pPr>
            <w:r w:rsidRPr="0012050A">
              <w:rPr>
                <w:rFonts w:ascii="Arial" w:hAnsi="Arial" w:cs="Arial"/>
                <w:sz w:val="20"/>
                <w:szCs w:val="20"/>
              </w:rPr>
              <w:t>Issues:</w:t>
            </w:r>
          </w:p>
          <w:p w14:paraId="7B3CC9EE" w14:textId="77777777" w:rsidR="006E14ED" w:rsidRDefault="00250953" w:rsidP="00250953">
            <w:pPr>
              <w:pStyle w:val="NoSpacing"/>
              <w:numPr>
                <w:ilvl w:val="0"/>
                <w:numId w:val="18"/>
              </w:numPr>
              <w:rPr>
                <w:rFonts w:ascii="Arial" w:hAnsi="Arial" w:cs="Arial"/>
                <w:color w:val="404040" w:themeColor="text1" w:themeTint="BF"/>
                <w:sz w:val="20"/>
                <w:szCs w:val="20"/>
              </w:rPr>
            </w:pPr>
            <w:r w:rsidRPr="00250953">
              <w:rPr>
                <w:rFonts w:ascii="Arial" w:hAnsi="Arial" w:cs="Arial"/>
                <w:b/>
                <w:color w:val="404040" w:themeColor="text1" w:themeTint="BF"/>
                <w:sz w:val="20"/>
                <w:szCs w:val="20"/>
              </w:rPr>
              <w:t>21 different age bands</w:t>
            </w:r>
            <w:r>
              <w:rPr>
                <w:rFonts w:ascii="Arial" w:hAnsi="Arial" w:cs="Arial"/>
                <w:color w:val="404040" w:themeColor="text1" w:themeTint="BF"/>
                <w:sz w:val="20"/>
                <w:szCs w:val="20"/>
              </w:rPr>
              <w:t xml:space="preserve"> mean that the 1200 normative sample contains only 53-67 cases in each age band.</w:t>
            </w:r>
          </w:p>
          <w:p w14:paraId="7B3CC9EF" w14:textId="77777777" w:rsidR="00B427BE" w:rsidRPr="00ED438F" w:rsidRDefault="00B427BE" w:rsidP="00250953">
            <w:pPr>
              <w:pStyle w:val="NoSpacing"/>
              <w:numPr>
                <w:ilvl w:val="0"/>
                <w:numId w:val="18"/>
              </w:numPr>
              <w:rPr>
                <w:rFonts w:ascii="Arial" w:hAnsi="Arial" w:cs="Arial"/>
                <w:color w:val="404040" w:themeColor="text1" w:themeTint="BF"/>
                <w:sz w:val="20"/>
                <w:szCs w:val="20"/>
              </w:rPr>
            </w:pPr>
            <w:r>
              <w:rPr>
                <w:rFonts w:ascii="Arial" w:hAnsi="Arial" w:cs="Arial"/>
                <w:b/>
                <w:color w:val="404040" w:themeColor="text1" w:themeTint="BF"/>
                <w:sz w:val="20"/>
                <w:szCs w:val="20"/>
              </w:rPr>
              <w:t xml:space="preserve">Some of the reliability and validity data </w:t>
            </w:r>
            <w:r w:rsidRPr="00B427BE">
              <w:rPr>
                <w:rFonts w:ascii="Arial" w:hAnsi="Arial" w:cs="Arial"/>
                <w:color w:val="404040" w:themeColor="text1" w:themeTint="BF"/>
                <w:sz w:val="20"/>
                <w:szCs w:val="20"/>
              </w:rPr>
              <w:t xml:space="preserve">was derived only from the US sample, not the new European sample. </w:t>
            </w:r>
          </w:p>
        </w:tc>
      </w:tr>
      <w:tr w:rsidR="006E14ED" w:rsidRPr="00ED438F" w14:paraId="7B3CC9F4" w14:textId="77777777" w:rsidTr="00AB5C99">
        <w:tc>
          <w:tcPr>
            <w:tcW w:w="3397" w:type="dxa"/>
          </w:tcPr>
          <w:p w14:paraId="7B3CC9F1"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 xml:space="preserve">If the test is based on a </w:t>
            </w:r>
            <w:proofErr w:type="spellStart"/>
            <w:r w:rsidRPr="00ED438F">
              <w:rPr>
                <w:rFonts w:ascii="Arial" w:hAnsi="Arial" w:cs="Arial"/>
                <w:color w:val="404040" w:themeColor="text1" w:themeTint="BF"/>
                <w:sz w:val="20"/>
                <w:szCs w:val="20"/>
              </w:rPr>
              <w:t>SpLD</w:t>
            </w:r>
            <w:proofErr w:type="spellEnd"/>
            <w:r w:rsidRPr="00ED438F">
              <w:rPr>
                <w:rFonts w:ascii="Arial" w:hAnsi="Arial" w:cs="Arial"/>
                <w:color w:val="404040" w:themeColor="text1" w:themeTint="BF"/>
                <w:sz w:val="20"/>
                <w:szCs w:val="20"/>
              </w:rPr>
              <w:t xml:space="preserve"> Specific norm, how was the presence of </w:t>
            </w:r>
            <w:proofErr w:type="spellStart"/>
            <w:r w:rsidRPr="00ED438F">
              <w:rPr>
                <w:rFonts w:ascii="Arial" w:hAnsi="Arial" w:cs="Arial"/>
                <w:color w:val="404040" w:themeColor="text1" w:themeTint="BF"/>
                <w:sz w:val="20"/>
                <w:szCs w:val="20"/>
              </w:rPr>
              <w:t>SpLD</w:t>
            </w:r>
            <w:proofErr w:type="spellEnd"/>
            <w:r w:rsidRPr="00ED438F">
              <w:rPr>
                <w:rFonts w:ascii="Arial" w:hAnsi="Arial" w:cs="Arial"/>
                <w:color w:val="404040" w:themeColor="text1" w:themeTint="BF"/>
                <w:sz w:val="20"/>
                <w:szCs w:val="20"/>
              </w:rPr>
              <w:t xml:space="preserve"> identified in </w:t>
            </w:r>
            <w:proofErr w:type="spellStart"/>
            <w:r w:rsidRPr="00ED438F">
              <w:rPr>
                <w:rFonts w:ascii="Arial" w:hAnsi="Arial" w:cs="Arial"/>
                <w:color w:val="404040" w:themeColor="text1" w:themeTint="BF"/>
                <w:sz w:val="20"/>
                <w:szCs w:val="20"/>
              </w:rPr>
              <w:t>SpLD</w:t>
            </w:r>
            <w:proofErr w:type="spellEnd"/>
            <w:r w:rsidRPr="00ED438F">
              <w:rPr>
                <w:rFonts w:ascii="Arial" w:hAnsi="Arial" w:cs="Arial"/>
                <w:color w:val="404040" w:themeColor="text1" w:themeTint="BF"/>
                <w:sz w:val="20"/>
                <w:szCs w:val="20"/>
              </w:rPr>
              <w:t xml:space="preserve"> sample group?</w:t>
            </w:r>
          </w:p>
        </w:tc>
        <w:tc>
          <w:tcPr>
            <w:tcW w:w="5619" w:type="dxa"/>
          </w:tcPr>
          <w:p w14:paraId="7B3CC9F2" w14:textId="77777777" w:rsidR="006E14ED" w:rsidRPr="00ED438F" w:rsidRDefault="007C0911" w:rsidP="00AB5C99">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A proportion of children with special education and gifted classifications were included in the normative sample -</w:t>
            </w:r>
            <w:proofErr w:type="spellStart"/>
            <w:r>
              <w:rPr>
                <w:rFonts w:ascii="Arial" w:hAnsi="Arial" w:cs="Arial"/>
                <w:color w:val="404040" w:themeColor="text1" w:themeTint="BF"/>
                <w:sz w:val="20"/>
                <w:szCs w:val="20"/>
              </w:rPr>
              <w:t>approx</w:t>
            </w:r>
            <w:proofErr w:type="spellEnd"/>
            <w:r>
              <w:rPr>
                <w:rFonts w:ascii="Arial" w:hAnsi="Arial" w:cs="Arial"/>
                <w:color w:val="404040" w:themeColor="text1" w:themeTint="BF"/>
                <w:sz w:val="20"/>
                <w:szCs w:val="20"/>
              </w:rPr>
              <w:t xml:space="preserve"> 1.5% in each group. </w:t>
            </w:r>
          </w:p>
          <w:p w14:paraId="7B3CC9F3" w14:textId="77777777" w:rsidR="006E14ED" w:rsidRPr="00ED438F" w:rsidRDefault="006E14ED" w:rsidP="00AB5C99">
            <w:pPr>
              <w:pStyle w:val="NoSpacing"/>
              <w:rPr>
                <w:rFonts w:ascii="Arial" w:hAnsi="Arial" w:cs="Arial"/>
                <w:color w:val="404040" w:themeColor="text1" w:themeTint="BF"/>
                <w:sz w:val="20"/>
                <w:szCs w:val="20"/>
              </w:rPr>
            </w:pPr>
          </w:p>
        </w:tc>
      </w:tr>
    </w:tbl>
    <w:p w14:paraId="7B3CC9F5" w14:textId="77777777" w:rsidR="006E14ED" w:rsidRPr="00ED438F" w:rsidRDefault="006E14ED" w:rsidP="006E14ED">
      <w:pPr>
        <w:rPr>
          <w:rFonts w:ascii="Arial" w:hAnsi="Arial" w:cs="Arial"/>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ED438F" w14:paraId="7B3CC9F7" w14:textId="77777777" w:rsidTr="00AB5C99">
        <w:tc>
          <w:tcPr>
            <w:tcW w:w="9016" w:type="dxa"/>
            <w:gridSpan w:val="2"/>
          </w:tcPr>
          <w:p w14:paraId="7B3CC9F6" w14:textId="77777777" w:rsidR="006E14ED" w:rsidRPr="00ED438F" w:rsidRDefault="006E14ED" w:rsidP="00AB5C99">
            <w:pPr>
              <w:pStyle w:val="NoSpacing"/>
              <w:rPr>
                <w:rFonts w:ascii="Arial" w:hAnsi="Arial" w:cs="Arial"/>
                <w:b/>
                <w:color w:val="404040" w:themeColor="text1" w:themeTint="BF"/>
                <w:sz w:val="20"/>
                <w:szCs w:val="20"/>
              </w:rPr>
            </w:pPr>
            <w:r w:rsidRPr="00ED438F">
              <w:rPr>
                <w:rFonts w:ascii="Arial" w:hAnsi="Arial" w:cs="Arial"/>
                <w:b/>
                <w:color w:val="404040" w:themeColor="text1" w:themeTint="BF"/>
                <w:sz w:val="20"/>
                <w:szCs w:val="20"/>
              </w:rPr>
              <w:t>CONTENT VALIDITY</w:t>
            </w:r>
          </w:p>
        </w:tc>
      </w:tr>
      <w:tr w:rsidR="006E14ED" w:rsidRPr="00ED438F" w14:paraId="7B3CCA05" w14:textId="77777777" w:rsidTr="00AB5C99">
        <w:tc>
          <w:tcPr>
            <w:tcW w:w="3397" w:type="dxa"/>
          </w:tcPr>
          <w:p w14:paraId="7B3CC9F8" w14:textId="77777777" w:rsidR="006E14ED" w:rsidRPr="00ED438F" w:rsidRDefault="0012050A" w:rsidP="00AB5C99">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There are no sub-tests…this is one test with progressively more difficult items. </w:t>
            </w:r>
          </w:p>
          <w:p w14:paraId="7B3CC9F9"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9FA"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9FB"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9FC"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9FD"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9FE" w14:textId="77777777" w:rsidR="0023774C" w:rsidRDefault="0023774C" w:rsidP="0023774C">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lastRenderedPageBreak/>
              <w:t xml:space="preserve">Do the test items adequately represent and relate to the trait of function that is being measured? </w:t>
            </w:r>
          </w:p>
          <w:p w14:paraId="7B3CC9FF" w14:textId="77777777" w:rsidR="0023774C" w:rsidRDefault="0023774C" w:rsidP="0023774C">
            <w:pPr>
              <w:pStyle w:val="NoSpacing"/>
              <w:rPr>
                <w:rFonts w:ascii="Arial" w:hAnsi="Arial" w:cs="Arial"/>
                <w:color w:val="404040" w:themeColor="text1" w:themeTint="BF"/>
                <w:sz w:val="20"/>
                <w:szCs w:val="20"/>
              </w:rPr>
            </w:pPr>
          </w:p>
          <w:p w14:paraId="7B3CCA00" w14:textId="77777777" w:rsidR="0023774C" w:rsidRDefault="00466349" w:rsidP="0023774C">
            <w:pPr>
              <w:pStyle w:val="NoSpacing"/>
              <w:rPr>
                <w:rFonts w:ascii="Arial" w:hAnsi="Arial" w:cs="Arial"/>
                <w:color w:val="404040" w:themeColor="text1" w:themeTint="BF"/>
                <w:sz w:val="20"/>
                <w:szCs w:val="20"/>
              </w:rPr>
            </w:pPr>
            <w:proofErr w:type="gramStart"/>
            <w:r w:rsidRPr="0012050A">
              <w:rPr>
                <w:rFonts w:ascii="Arial" w:hAnsi="Arial" w:cs="Arial"/>
                <w:color w:val="404040" w:themeColor="text1" w:themeTint="BF"/>
                <w:sz w:val="20"/>
                <w:szCs w:val="20"/>
              </w:rPr>
              <w:t>All of</w:t>
            </w:r>
            <w:proofErr w:type="gramEnd"/>
            <w:r w:rsidRPr="0012050A">
              <w:rPr>
                <w:rFonts w:ascii="Arial" w:hAnsi="Arial" w:cs="Arial"/>
                <w:color w:val="404040" w:themeColor="text1" w:themeTint="BF"/>
                <w:sz w:val="20"/>
                <w:szCs w:val="20"/>
              </w:rPr>
              <w:t xml:space="preserve"> the Raven’s 2 items were newly developed, retaining the underlying cognitive constructs of previous versions of </w:t>
            </w:r>
            <w:r w:rsidRPr="0012050A">
              <w:rPr>
                <w:rFonts w:ascii="Arial" w:hAnsi="Arial" w:cs="Arial"/>
                <w:color w:val="404040" w:themeColor="text1" w:themeTint="BF"/>
                <w:sz w:val="20"/>
                <w:szCs w:val="20"/>
              </w:rPr>
              <w:lastRenderedPageBreak/>
              <w:t xml:space="preserve">the test. </w:t>
            </w:r>
            <w:r w:rsidR="007C0911" w:rsidRPr="0012050A">
              <w:rPr>
                <w:rFonts w:ascii="Arial" w:hAnsi="Arial" w:cs="Arial"/>
                <w:color w:val="404040" w:themeColor="text1" w:themeTint="BF"/>
                <w:sz w:val="20"/>
                <w:szCs w:val="20"/>
              </w:rPr>
              <w:t>Alongside</w:t>
            </w:r>
            <w:r w:rsidR="0012050A">
              <w:rPr>
                <w:rFonts w:ascii="Arial" w:hAnsi="Arial" w:cs="Arial"/>
                <w:color w:val="404040" w:themeColor="text1" w:themeTint="BF"/>
                <w:sz w:val="20"/>
                <w:szCs w:val="20"/>
              </w:rPr>
              <w:t xml:space="preserve"> the</w:t>
            </w:r>
            <w:r w:rsidR="007C0911" w:rsidRPr="0012050A">
              <w:rPr>
                <w:rFonts w:ascii="Arial" w:hAnsi="Arial" w:cs="Arial"/>
                <w:color w:val="404040" w:themeColor="text1" w:themeTint="BF"/>
                <w:sz w:val="20"/>
                <w:szCs w:val="20"/>
              </w:rPr>
              <w:t xml:space="preserve"> three traditional item types, </w:t>
            </w:r>
            <w:r w:rsidRPr="0012050A">
              <w:rPr>
                <w:rFonts w:ascii="Arial" w:hAnsi="Arial" w:cs="Arial"/>
                <w:color w:val="404040" w:themeColor="text1" w:themeTint="BF"/>
                <w:sz w:val="20"/>
                <w:szCs w:val="20"/>
              </w:rPr>
              <w:t xml:space="preserve">I </w:t>
            </w:r>
            <w:proofErr w:type="spellStart"/>
            <w:r w:rsidRPr="0012050A">
              <w:rPr>
                <w:rFonts w:ascii="Arial" w:hAnsi="Arial" w:cs="Arial"/>
                <w:color w:val="404040" w:themeColor="text1" w:themeTint="BF"/>
                <w:sz w:val="20"/>
                <w:szCs w:val="20"/>
              </w:rPr>
              <w:t>new</w:t>
            </w:r>
            <w:proofErr w:type="spellEnd"/>
            <w:r w:rsidRPr="0012050A">
              <w:rPr>
                <w:rFonts w:ascii="Arial" w:hAnsi="Arial" w:cs="Arial"/>
                <w:color w:val="404040" w:themeColor="text1" w:themeTint="BF"/>
                <w:sz w:val="20"/>
                <w:szCs w:val="20"/>
              </w:rPr>
              <w:t xml:space="preserve"> item type was included</w:t>
            </w:r>
            <w:r w:rsidR="007C0911" w:rsidRPr="0012050A">
              <w:rPr>
                <w:rFonts w:ascii="Arial" w:hAnsi="Arial" w:cs="Arial"/>
                <w:color w:val="404040" w:themeColor="text1" w:themeTint="BF"/>
                <w:sz w:val="20"/>
                <w:szCs w:val="20"/>
              </w:rPr>
              <w:t>. All items</w:t>
            </w:r>
            <w:r w:rsidR="0012050A">
              <w:rPr>
                <w:rFonts w:ascii="Arial" w:hAnsi="Arial" w:cs="Arial"/>
                <w:color w:val="404040" w:themeColor="text1" w:themeTint="BF"/>
                <w:sz w:val="20"/>
                <w:szCs w:val="20"/>
              </w:rPr>
              <w:t xml:space="preserve"> were</w:t>
            </w:r>
            <w:r w:rsidR="007C0911" w:rsidRPr="0012050A">
              <w:rPr>
                <w:rFonts w:ascii="Arial" w:hAnsi="Arial" w:cs="Arial"/>
                <w:color w:val="404040" w:themeColor="text1" w:themeTint="BF"/>
                <w:sz w:val="20"/>
                <w:szCs w:val="20"/>
              </w:rPr>
              <w:t xml:space="preserve"> designed with one or more colours. A new item bank of 329 items</w:t>
            </w:r>
            <w:r w:rsidR="0012050A">
              <w:rPr>
                <w:rFonts w:ascii="Arial" w:hAnsi="Arial" w:cs="Arial"/>
                <w:color w:val="404040" w:themeColor="text1" w:themeTint="BF"/>
                <w:sz w:val="20"/>
                <w:szCs w:val="20"/>
              </w:rPr>
              <w:t xml:space="preserve"> was</w:t>
            </w:r>
            <w:r w:rsidR="007C0911" w:rsidRPr="0012050A">
              <w:rPr>
                <w:rFonts w:ascii="Arial" w:hAnsi="Arial" w:cs="Arial"/>
                <w:color w:val="404040" w:themeColor="text1" w:themeTint="BF"/>
                <w:sz w:val="20"/>
                <w:szCs w:val="20"/>
              </w:rPr>
              <w:t xml:space="preserve"> created. If used digitally, an algorithm randomly selects items and </w:t>
            </w:r>
            <w:r w:rsidR="0012050A" w:rsidRPr="0012050A">
              <w:rPr>
                <w:rFonts w:ascii="Arial" w:hAnsi="Arial" w:cs="Arial"/>
                <w:color w:val="404040" w:themeColor="text1" w:themeTint="BF"/>
                <w:sz w:val="20"/>
                <w:szCs w:val="20"/>
              </w:rPr>
              <w:t>assembles</w:t>
            </w:r>
            <w:r w:rsidR="007C0911" w:rsidRPr="0012050A">
              <w:rPr>
                <w:rFonts w:ascii="Arial" w:hAnsi="Arial" w:cs="Arial"/>
                <w:color w:val="404040" w:themeColor="text1" w:themeTint="BF"/>
                <w:sz w:val="20"/>
                <w:szCs w:val="20"/>
              </w:rPr>
              <w:t xml:space="preserve"> a unique test for </w:t>
            </w:r>
            <w:proofErr w:type="gramStart"/>
            <w:r w:rsidR="007C0911" w:rsidRPr="0012050A">
              <w:rPr>
                <w:rFonts w:ascii="Arial" w:hAnsi="Arial" w:cs="Arial"/>
                <w:color w:val="404040" w:themeColor="text1" w:themeTint="BF"/>
                <w:sz w:val="20"/>
                <w:szCs w:val="20"/>
              </w:rPr>
              <w:t>each individual</w:t>
            </w:r>
            <w:proofErr w:type="gramEnd"/>
            <w:r w:rsidR="007C0911" w:rsidRPr="0012050A">
              <w:rPr>
                <w:rFonts w:ascii="Arial" w:hAnsi="Arial" w:cs="Arial"/>
                <w:color w:val="404040" w:themeColor="text1" w:themeTint="BF"/>
                <w:sz w:val="20"/>
                <w:szCs w:val="20"/>
              </w:rPr>
              <w:t>, ensuring equivalency in item content and reliability. This increases test security.</w:t>
            </w:r>
          </w:p>
          <w:p w14:paraId="7B3CCA01" w14:textId="77777777" w:rsidR="0023774C" w:rsidRDefault="0023774C" w:rsidP="0023774C">
            <w:pPr>
              <w:pStyle w:val="NoSpacing"/>
              <w:rPr>
                <w:rFonts w:ascii="Arial" w:hAnsi="Arial" w:cs="Arial"/>
                <w:color w:val="404040" w:themeColor="text1" w:themeTint="BF"/>
                <w:sz w:val="20"/>
                <w:szCs w:val="20"/>
              </w:rPr>
            </w:pPr>
          </w:p>
          <w:p w14:paraId="7B3CCA02" w14:textId="77777777" w:rsidR="0023774C" w:rsidRDefault="0023774C" w:rsidP="0023774C">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The authors claim that internal and external expert item reviews were conducted at each research stage to ensure adequate content coverage and relevance. </w:t>
            </w:r>
            <w:r w:rsidR="007C0911" w:rsidRPr="0012050A">
              <w:rPr>
                <w:rFonts w:ascii="Arial" w:hAnsi="Arial" w:cs="Arial"/>
                <w:color w:val="404040" w:themeColor="text1" w:themeTint="BF"/>
                <w:sz w:val="20"/>
                <w:szCs w:val="20"/>
              </w:rPr>
              <w:t xml:space="preserve"> </w:t>
            </w:r>
            <w:r>
              <w:rPr>
                <w:rFonts w:ascii="Arial" w:hAnsi="Arial" w:cs="Arial"/>
                <w:color w:val="404040" w:themeColor="text1" w:themeTint="BF"/>
                <w:sz w:val="20"/>
                <w:szCs w:val="20"/>
              </w:rPr>
              <w:t xml:space="preserve">Efforts were made to eliminate factors that might provoke irrelevant items response e.g. visual acuity, design complexity, colour usage, distractors, </w:t>
            </w:r>
            <w:r w:rsidR="009028C6">
              <w:rPr>
                <w:rFonts w:ascii="Arial" w:hAnsi="Arial" w:cs="Arial"/>
                <w:color w:val="404040" w:themeColor="text1" w:themeTint="BF"/>
                <w:sz w:val="20"/>
                <w:szCs w:val="20"/>
              </w:rPr>
              <w:t>and unnecessary</w:t>
            </w:r>
            <w:r>
              <w:rPr>
                <w:rFonts w:ascii="Arial" w:hAnsi="Arial" w:cs="Arial"/>
                <w:color w:val="404040" w:themeColor="text1" w:themeTint="BF"/>
                <w:sz w:val="20"/>
                <w:szCs w:val="20"/>
              </w:rPr>
              <w:t xml:space="preserve"> working memory load. The introduction of the discontinue rule of the digital form reduces random guessing, fatigue, time pressure. </w:t>
            </w:r>
          </w:p>
          <w:p w14:paraId="7B3CCA03" w14:textId="77777777" w:rsidR="0023774C" w:rsidRDefault="0023774C" w:rsidP="0023774C">
            <w:pPr>
              <w:pStyle w:val="NoSpacing"/>
              <w:rPr>
                <w:rFonts w:ascii="Arial" w:hAnsi="Arial" w:cs="Arial"/>
                <w:color w:val="404040" w:themeColor="text1" w:themeTint="BF"/>
                <w:sz w:val="20"/>
                <w:szCs w:val="20"/>
              </w:rPr>
            </w:pPr>
          </w:p>
          <w:p w14:paraId="7B3CCA04" w14:textId="77777777" w:rsidR="006E14ED" w:rsidRPr="0012050A" w:rsidRDefault="0023774C" w:rsidP="0023774C">
            <w:pPr>
              <w:pStyle w:val="NoSpacing"/>
              <w:rPr>
                <w:rFonts w:ascii="Arial" w:hAnsi="Arial" w:cs="Arial"/>
                <w:color w:val="404040" w:themeColor="text1" w:themeTint="BF"/>
                <w:sz w:val="20"/>
                <w:szCs w:val="20"/>
              </w:rPr>
            </w:pPr>
            <w:r>
              <w:rPr>
                <w:rFonts w:ascii="Arial" w:hAnsi="Arial" w:cs="Arial"/>
                <w:color w:val="404040" w:themeColor="text1" w:themeTint="BF"/>
                <w:sz w:val="20"/>
                <w:szCs w:val="20"/>
              </w:rPr>
              <w:t xml:space="preserve">Solving the Raven’s 2 involves several domains of cognitive functioning such as </w:t>
            </w:r>
            <w:r w:rsidRPr="0023774C">
              <w:rPr>
                <w:rFonts w:ascii="Arial" w:hAnsi="Arial" w:cs="Arial"/>
                <w:b/>
                <w:color w:val="404040" w:themeColor="text1" w:themeTint="BF"/>
                <w:sz w:val="20"/>
                <w:szCs w:val="20"/>
              </w:rPr>
              <w:t>perception, attention, inductive reasoning, classification and spatial ability, simultaneous processing, fluid reasoning, working memory</w:t>
            </w:r>
            <w:r>
              <w:rPr>
                <w:rFonts w:ascii="Arial" w:hAnsi="Arial" w:cs="Arial"/>
                <w:color w:val="404040" w:themeColor="text1" w:themeTint="BF"/>
                <w:sz w:val="20"/>
                <w:szCs w:val="20"/>
              </w:rPr>
              <w:t xml:space="preserve">. Together these are described as elements of </w:t>
            </w:r>
            <w:proofErr w:type="spellStart"/>
            <w:r w:rsidRPr="0023774C">
              <w:rPr>
                <w:rFonts w:ascii="Arial" w:hAnsi="Arial" w:cs="Arial"/>
                <w:b/>
                <w:color w:val="404040" w:themeColor="text1" w:themeTint="BF"/>
                <w:sz w:val="20"/>
                <w:szCs w:val="20"/>
              </w:rPr>
              <w:t>eductive</w:t>
            </w:r>
            <w:proofErr w:type="spellEnd"/>
            <w:r w:rsidRPr="0023774C">
              <w:rPr>
                <w:rFonts w:ascii="Arial" w:hAnsi="Arial" w:cs="Arial"/>
                <w:b/>
                <w:color w:val="404040" w:themeColor="text1" w:themeTint="BF"/>
                <w:sz w:val="20"/>
                <w:szCs w:val="20"/>
              </w:rPr>
              <w:t xml:space="preserve"> ability.</w:t>
            </w:r>
            <w:r>
              <w:rPr>
                <w:rFonts w:ascii="Arial" w:hAnsi="Arial" w:cs="Arial"/>
                <w:color w:val="404040" w:themeColor="text1" w:themeTint="BF"/>
                <w:sz w:val="20"/>
                <w:szCs w:val="20"/>
              </w:rPr>
              <w:t xml:space="preserve"> </w:t>
            </w:r>
            <w:r w:rsidR="007C0911" w:rsidRPr="0012050A">
              <w:rPr>
                <w:rFonts w:ascii="Arial" w:hAnsi="Arial" w:cs="Arial"/>
                <w:color w:val="404040" w:themeColor="text1" w:themeTint="BF"/>
                <w:sz w:val="20"/>
                <w:szCs w:val="20"/>
              </w:rPr>
              <w:t xml:space="preserve"> </w:t>
            </w:r>
          </w:p>
        </w:tc>
      </w:tr>
      <w:tr w:rsidR="006E14ED" w:rsidRPr="00ED438F" w14:paraId="7B3CCA0A" w14:textId="77777777" w:rsidTr="00AB5C99">
        <w:tc>
          <w:tcPr>
            <w:tcW w:w="9016" w:type="dxa"/>
            <w:gridSpan w:val="2"/>
          </w:tcPr>
          <w:p w14:paraId="7B3CCA09"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lastRenderedPageBreak/>
              <w:t>CONSTRUCT</w:t>
            </w:r>
            <w:r w:rsidR="0023774C">
              <w:rPr>
                <w:rFonts w:ascii="Arial" w:hAnsi="Arial" w:cs="Arial"/>
                <w:b/>
                <w:color w:val="404040" w:themeColor="text1" w:themeTint="BF"/>
                <w:sz w:val="20"/>
                <w:szCs w:val="20"/>
              </w:rPr>
              <w:t>/CONCURRENT</w:t>
            </w:r>
            <w:r w:rsidRPr="00ED438F">
              <w:rPr>
                <w:rFonts w:ascii="Arial" w:hAnsi="Arial" w:cs="Arial"/>
                <w:b/>
                <w:color w:val="404040" w:themeColor="text1" w:themeTint="BF"/>
                <w:sz w:val="20"/>
                <w:szCs w:val="20"/>
              </w:rPr>
              <w:t xml:space="preserve"> VALIDITY</w:t>
            </w:r>
          </w:p>
        </w:tc>
      </w:tr>
      <w:tr w:rsidR="006E14ED" w:rsidRPr="00ED438F" w14:paraId="7B3CCA14" w14:textId="77777777" w:rsidTr="00AB5C99">
        <w:tc>
          <w:tcPr>
            <w:tcW w:w="3397" w:type="dxa"/>
          </w:tcPr>
          <w:p w14:paraId="7B3CCA0B"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Has the test been compared to other similar tests?  If so, which ones, and what is the correlation between them:</w:t>
            </w:r>
          </w:p>
          <w:p w14:paraId="7B3CCA0C"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t>Red</w:t>
            </w:r>
            <w:r w:rsidRPr="00ED438F">
              <w:rPr>
                <w:rFonts w:ascii="Arial" w:hAnsi="Arial" w:cs="Arial"/>
                <w:color w:val="404040" w:themeColor="text1" w:themeTint="BF"/>
                <w:sz w:val="20"/>
                <w:szCs w:val="20"/>
              </w:rPr>
              <w:t xml:space="preserve">: </w:t>
            </w:r>
            <w:r w:rsidRPr="00ED438F">
              <w:rPr>
                <w:rFonts w:ascii="Arial" w:hAnsi="Arial" w:cs="Arial"/>
                <w:color w:val="404040" w:themeColor="text1" w:themeTint="BF"/>
                <w:sz w:val="20"/>
                <w:szCs w:val="20"/>
              </w:rPr>
              <w:sym w:font="Symbol" w:char="F03C"/>
            </w:r>
            <w:r w:rsidRPr="00ED438F">
              <w:rPr>
                <w:rFonts w:ascii="Arial" w:hAnsi="Arial" w:cs="Arial"/>
                <w:color w:val="404040" w:themeColor="text1" w:themeTint="BF"/>
                <w:sz w:val="20"/>
                <w:szCs w:val="20"/>
              </w:rPr>
              <w:t xml:space="preserve">0.60 </w:t>
            </w:r>
          </w:p>
          <w:p w14:paraId="7B3CCA0D"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t>Orange/Green</w:t>
            </w:r>
            <w:r w:rsidRPr="00ED438F">
              <w:rPr>
                <w:rFonts w:ascii="Arial" w:hAnsi="Arial" w:cs="Arial"/>
                <w:color w:val="404040" w:themeColor="text1" w:themeTint="BF"/>
                <w:sz w:val="20"/>
                <w:szCs w:val="20"/>
              </w:rPr>
              <w:t>: &gt;0.60</w:t>
            </w:r>
          </w:p>
          <w:p w14:paraId="7B3CCA0E"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A0F" w14:textId="77777777" w:rsidR="006E14ED" w:rsidRDefault="0023774C" w:rsidP="0023774C">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The Raven’s 2 was compared to its predecessors (CPM, SPM, APM), and with the NNAT3, KBIT-2 and WRAT5 using </w:t>
            </w:r>
            <w:proofErr w:type="gramStart"/>
            <w:r>
              <w:rPr>
                <w:rFonts w:ascii="Arial" w:hAnsi="Arial" w:cs="Arial"/>
                <w:color w:val="404040" w:themeColor="text1" w:themeTint="BF"/>
                <w:sz w:val="20"/>
                <w:szCs w:val="20"/>
              </w:rPr>
              <w:t>non clinical</w:t>
            </w:r>
            <w:proofErr w:type="gramEnd"/>
            <w:r>
              <w:rPr>
                <w:rFonts w:ascii="Arial" w:hAnsi="Arial" w:cs="Arial"/>
                <w:color w:val="404040" w:themeColor="text1" w:themeTint="BF"/>
                <w:sz w:val="20"/>
                <w:szCs w:val="20"/>
              </w:rPr>
              <w:t xml:space="preserve"> samples in the US standardisation study. </w:t>
            </w:r>
          </w:p>
          <w:p w14:paraId="7B3CCA10" w14:textId="77777777" w:rsidR="0023774C" w:rsidRDefault="0023774C" w:rsidP="0023774C">
            <w:pPr>
              <w:spacing w:after="0" w:line="240" w:lineRule="auto"/>
              <w:rPr>
                <w:rFonts w:ascii="Arial" w:hAnsi="Arial" w:cs="Arial"/>
                <w:color w:val="404040" w:themeColor="text1" w:themeTint="BF"/>
                <w:sz w:val="20"/>
                <w:szCs w:val="20"/>
              </w:rPr>
            </w:pPr>
          </w:p>
          <w:p w14:paraId="7B3CCA11" w14:textId="77777777" w:rsidR="0023774C" w:rsidRDefault="0023774C" w:rsidP="000D71F3">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Coefficients varied: They were stronge</w:t>
            </w:r>
            <w:r w:rsidR="000D71F3">
              <w:rPr>
                <w:rFonts w:ascii="Arial" w:hAnsi="Arial" w:cs="Arial"/>
                <w:color w:val="404040" w:themeColor="text1" w:themeTint="BF"/>
                <w:sz w:val="20"/>
                <w:szCs w:val="20"/>
              </w:rPr>
              <w:t>st</w:t>
            </w:r>
            <w:r>
              <w:rPr>
                <w:rFonts w:ascii="Arial" w:hAnsi="Arial" w:cs="Arial"/>
                <w:color w:val="404040" w:themeColor="text1" w:themeTint="BF"/>
                <w:sz w:val="20"/>
                <w:szCs w:val="20"/>
              </w:rPr>
              <w:t>, as might be expected, for the CPM, SPM, APM</w:t>
            </w:r>
            <w:r w:rsidR="000D71F3">
              <w:rPr>
                <w:rFonts w:ascii="Arial" w:hAnsi="Arial" w:cs="Arial"/>
                <w:color w:val="404040" w:themeColor="text1" w:themeTint="BF"/>
                <w:sz w:val="20"/>
                <w:szCs w:val="20"/>
              </w:rPr>
              <w:t xml:space="preserve">, NNAT3 and KBIT2 </w:t>
            </w:r>
            <w:proofErr w:type="gramStart"/>
            <w:r w:rsidR="000D71F3">
              <w:rPr>
                <w:rFonts w:ascii="Arial" w:hAnsi="Arial" w:cs="Arial"/>
                <w:color w:val="404040" w:themeColor="text1" w:themeTint="BF"/>
                <w:sz w:val="20"/>
                <w:szCs w:val="20"/>
              </w:rPr>
              <w:t>Non Verbal</w:t>
            </w:r>
            <w:proofErr w:type="gramEnd"/>
            <w:r w:rsidR="00B427BE">
              <w:rPr>
                <w:rFonts w:ascii="Arial" w:hAnsi="Arial" w:cs="Arial"/>
                <w:color w:val="404040" w:themeColor="text1" w:themeTint="BF"/>
                <w:sz w:val="20"/>
                <w:szCs w:val="20"/>
              </w:rPr>
              <w:t xml:space="preserve"> test</w:t>
            </w:r>
            <w:r w:rsidR="000D71F3">
              <w:rPr>
                <w:rFonts w:ascii="Arial" w:hAnsi="Arial" w:cs="Arial"/>
                <w:color w:val="404040" w:themeColor="text1" w:themeTint="BF"/>
                <w:sz w:val="20"/>
                <w:szCs w:val="20"/>
              </w:rPr>
              <w:t xml:space="preserve"> across all forms (digital long and short, paper) of the test (all .71+). They were weakest for WRAT5 Spelling, Word Reading and Sentence Comprehension (.43 - .62). </w:t>
            </w:r>
          </w:p>
          <w:p w14:paraId="7B3CCA12" w14:textId="77777777" w:rsidR="000D71F3" w:rsidRDefault="000D71F3" w:rsidP="000D71F3">
            <w:pPr>
              <w:spacing w:after="0" w:line="240" w:lineRule="auto"/>
              <w:rPr>
                <w:rFonts w:ascii="Arial" w:hAnsi="Arial" w:cs="Arial"/>
                <w:color w:val="404040" w:themeColor="text1" w:themeTint="BF"/>
                <w:sz w:val="20"/>
                <w:szCs w:val="20"/>
              </w:rPr>
            </w:pPr>
          </w:p>
          <w:p w14:paraId="7B3CCA13" w14:textId="77777777" w:rsidR="000D71F3" w:rsidRPr="00ED438F" w:rsidRDefault="000D71F3" w:rsidP="009028C6">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There were two additional special group studies comparing the results of the </w:t>
            </w:r>
            <w:r w:rsidR="009028C6">
              <w:rPr>
                <w:rFonts w:ascii="Arial" w:hAnsi="Arial" w:cs="Arial"/>
                <w:color w:val="404040" w:themeColor="text1" w:themeTint="BF"/>
                <w:sz w:val="20"/>
                <w:szCs w:val="20"/>
              </w:rPr>
              <w:t xml:space="preserve">gifted (n =174), </w:t>
            </w:r>
            <w:r>
              <w:rPr>
                <w:rFonts w:ascii="Arial" w:hAnsi="Arial" w:cs="Arial"/>
                <w:color w:val="404040" w:themeColor="text1" w:themeTint="BF"/>
                <w:sz w:val="20"/>
                <w:szCs w:val="20"/>
              </w:rPr>
              <w:t>and intellectually disabled</w:t>
            </w:r>
            <w:r w:rsidR="009028C6">
              <w:rPr>
                <w:rFonts w:ascii="Arial" w:hAnsi="Arial" w:cs="Arial"/>
                <w:color w:val="404040" w:themeColor="text1" w:themeTint="BF"/>
                <w:sz w:val="20"/>
                <w:szCs w:val="20"/>
              </w:rPr>
              <w:t xml:space="preserve"> (n =173)</w:t>
            </w:r>
            <w:r>
              <w:rPr>
                <w:rFonts w:ascii="Arial" w:hAnsi="Arial" w:cs="Arial"/>
                <w:color w:val="404040" w:themeColor="text1" w:themeTint="BF"/>
                <w:sz w:val="20"/>
                <w:szCs w:val="20"/>
              </w:rPr>
              <w:t xml:space="preserve"> sub-groups with a matched control group. The gifted cohort scored </w:t>
            </w:r>
            <w:r w:rsidRPr="009028C6">
              <w:rPr>
                <w:rFonts w:ascii="Arial" w:hAnsi="Arial" w:cs="Arial"/>
                <w:b/>
                <w:color w:val="404040" w:themeColor="text1" w:themeTint="BF"/>
                <w:sz w:val="20"/>
                <w:szCs w:val="20"/>
              </w:rPr>
              <w:t>significantly higher</w:t>
            </w:r>
            <w:r>
              <w:rPr>
                <w:rFonts w:ascii="Arial" w:hAnsi="Arial" w:cs="Arial"/>
                <w:color w:val="404040" w:themeColor="text1" w:themeTint="BF"/>
                <w:sz w:val="20"/>
                <w:szCs w:val="20"/>
              </w:rPr>
              <w:t xml:space="preserve"> on the Raven’s 2 than matched control groups and the ID group scored </w:t>
            </w:r>
            <w:r w:rsidRPr="009028C6">
              <w:rPr>
                <w:rFonts w:ascii="Arial" w:hAnsi="Arial" w:cs="Arial"/>
                <w:b/>
                <w:color w:val="404040" w:themeColor="text1" w:themeTint="BF"/>
                <w:sz w:val="20"/>
                <w:szCs w:val="20"/>
              </w:rPr>
              <w:t>significantly lower</w:t>
            </w:r>
            <w:r>
              <w:rPr>
                <w:rFonts w:ascii="Arial" w:hAnsi="Arial" w:cs="Arial"/>
                <w:color w:val="404040" w:themeColor="text1" w:themeTint="BF"/>
                <w:sz w:val="20"/>
                <w:szCs w:val="20"/>
              </w:rPr>
              <w:t xml:space="preserve">, supporting the use of this test as a valid instrument to assess the abilities of those who are gifted or intellectually disabled. </w:t>
            </w:r>
          </w:p>
        </w:tc>
      </w:tr>
      <w:tr w:rsidR="006E14ED" w:rsidRPr="00ED438F" w14:paraId="7B3CCA16" w14:textId="77777777" w:rsidTr="00AB5C99">
        <w:tc>
          <w:tcPr>
            <w:tcW w:w="9016" w:type="dxa"/>
            <w:gridSpan w:val="2"/>
          </w:tcPr>
          <w:p w14:paraId="7B3CCA15" w14:textId="77777777" w:rsidR="006E14ED" w:rsidRPr="00ED438F" w:rsidRDefault="006E14ED" w:rsidP="00AB5C99">
            <w:pPr>
              <w:spacing w:after="0" w:line="240" w:lineRule="auto"/>
              <w:rPr>
                <w:rFonts w:ascii="Arial" w:hAnsi="Arial" w:cs="Arial"/>
                <w:color w:val="404040" w:themeColor="text1" w:themeTint="BF"/>
                <w:sz w:val="20"/>
                <w:szCs w:val="20"/>
              </w:rPr>
            </w:pPr>
            <w:r>
              <w:rPr>
                <w:rFonts w:ascii="Arial" w:hAnsi="Arial" w:cs="Arial"/>
                <w:b/>
                <w:color w:val="404040" w:themeColor="text1" w:themeTint="BF"/>
                <w:sz w:val="20"/>
                <w:szCs w:val="20"/>
              </w:rPr>
              <w:t>R</w:t>
            </w:r>
            <w:r w:rsidRPr="00ED438F">
              <w:rPr>
                <w:rFonts w:ascii="Arial" w:hAnsi="Arial" w:cs="Arial"/>
                <w:b/>
                <w:color w:val="404040" w:themeColor="text1" w:themeTint="BF"/>
                <w:sz w:val="20"/>
                <w:szCs w:val="20"/>
              </w:rPr>
              <w:t>ELIABILITY</w:t>
            </w:r>
          </w:p>
        </w:tc>
      </w:tr>
      <w:tr w:rsidR="006E14ED" w:rsidRPr="00ED438F" w14:paraId="7B3CCA20" w14:textId="77777777" w:rsidTr="00AB5C99">
        <w:tc>
          <w:tcPr>
            <w:tcW w:w="3397" w:type="dxa"/>
          </w:tcPr>
          <w:p w14:paraId="7B3CCA17"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Has the author conducted any repeat studies to establish the reliability of the test? (number of studies conducted, and size of samples for each study)</w:t>
            </w:r>
          </w:p>
          <w:p w14:paraId="7B3CCA18"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19"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t>Green:</w:t>
            </w:r>
            <w:r w:rsidRPr="00ED438F">
              <w:rPr>
                <w:rFonts w:ascii="Arial" w:hAnsi="Arial" w:cs="Arial"/>
                <w:color w:val="404040" w:themeColor="text1" w:themeTint="BF"/>
                <w:sz w:val="20"/>
                <w:szCs w:val="20"/>
              </w:rPr>
              <w:t xml:space="preserve"> Multiple studies</w:t>
            </w:r>
          </w:p>
          <w:p w14:paraId="7B3CCA1A"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A1B" w14:textId="77777777" w:rsidR="005A5801" w:rsidRDefault="005A5801" w:rsidP="005A5801">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Reliability coefficients were obtained by using a split-half measure i.e. examining the correlation between the total scores of the two half-tests: reliability coefficients were moderate to high, depending on age: all over .75. with those for age groups 9+, all over .85</w:t>
            </w:r>
          </w:p>
          <w:p w14:paraId="7B3CCA1C" w14:textId="77777777" w:rsidR="005A5801" w:rsidRDefault="005A5801" w:rsidP="005A5801">
            <w:pPr>
              <w:spacing w:after="0" w:line="240" w:lineRule="auto"/>
              <w:rPr>
                <w:rFonts w:ascii="Arial" w:hAnsi="Arial" w:cs="Arial"/>
                <w:color w:val="404040" w:themeColor="text1" w:themeTint="BF"/>
                <w:sz w:val="20"/>
                <w:szCs w:val="20"/>
              </w:rPr>
            </w:pPr>
          </w:p>
          <w:p w14:paraId="7B3CCA1D" w14:textId="77777777" w:rsidR="006E14ED" w:rsidRDefault="00107FD4" w:rsidP="00107FD4">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Reliability coefficients for the randomly generated item banks on the digital form of the test were also calculated using a method called Item Response Theory (IRT) marginal reliability. Average marginal reliability coefficients of the digital long form are either good (.80s) or excellent ().90s) across all age groups. The average marginal reliability coefficients of the digital short form are good, with an average of .80. </w:t>
            </w:r>
          </w:p>
          <w:p w14:paraId="7B3CCA1E" w14:textId="77777777" w:rsidR="00107FD4" w:rsidRDefault="00107FD4" w:rsidP="00107FD4">
            <w:pPr>
              <w:spacing w:after="0" w:line="240" w:lineRule="auto"/>
              <w:rPr>
                <w:rFonts w:ascii="Arial" w:hAnsi="Arial" w:cs="Arial"/>
                <w:color w:val="404040" w:themeColor="text1" w:themeTint="BF"/>
                <w:sz w:val="20"/>
                <w:szCs w:val="20"/>
              </w:rPr>
            </w:pPr>
          </w:p>
          <w:p w14:paraId="7B3CCA1F" w14:textId="77777777" w:rsidR="00107FD4" w:rsidRPr="00ED438F" w:rsidRDefault="00107FD4" w:rsidP="00107FD4">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Reliability coefficients for the special group samples (gifted, intellectually disabled) were also calculated using split-half method…and found to be .85-.90.  </w:t>
            </w:r>
          </w:p>
        </w:tc>
      </w:tr>
      <w:tr w:rsidR="006E14ED" w:rsidRPr="00ED438F" w14:paraId="7B3CCA2A" w14:textId="77777777" w:rsidTr="00AB5C99">
        <w:tc>
          <w:tcPr>
            <w:tcW w:w="3397" w:type="dxa"/>
          </w:tcPr>
          <w:p w14:paraId="7B3CCA21"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lastRenderedPageBreak/>
              <w:t>Reliability data</w:t>
            </w:r>
          </w:p>
          <w:p w14:paraId="7B3CCA22"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23"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t>Orange</w:t>
            </w:r>
            <w:r w:rsidRPr="00ED438F">
              <w:rPr>
                <w:rFonts w:ascii="Arial" w:hAnsi="Arial" w:cs="Arial"/>
                <w:color w:val="404040" w:themeColor="text1" w:themeTint="BF"/>
                <w:sz w:val="20"/>
                <w:szCs w:val="20"/>
              </w:rPr>
              <w:t>: reliability &gt;0.75</w:t>
            </w:r>
          </w:p>
          <w:p w14:paraId="7B3CCA24" w14:textId="77777777" w:rsidR="006E14ED" w:rsidRPr="00ED438F" w:rsidRDefault="006E14ED" w:rsidP="00AB5C99">
            <w:pPr>
              <w:spacing w:after="0" w:line="240" w:lineRule="auto"/>
              <w:rPr>
                <w:rFonts w:ascii="Arial" w:hAnsi="Arial" w:cs="Arial"/>
                <w:color w:val="404040" w:themeColor="text1" w:themeTint="BF"/>
                <w:sz w:val="20"/>
                <w:szCs w:val="20"/>
              </w:rPr>
            </w:pPr>
            <w:r w:rsidRPr="00ED438F">
              <w:rPr>
                <w:rFonts w:ascii="Arial" w:hAnsi="Arial" w:cs="Arial"/>
                <w:b/>
                <w:color w:val="404040" w:themeColor="text1" w:themeTint="BF"/>
                <w:sz w:val="20"/>
                <w:szCs w:val="20"/>
              </w:rPr>
              <w:t>Green:</w:t>
            </w:r>
            <w:r w:rsidRPr="00ED438F">
              <w:rPr>
                <w:rFonts w:ascii="Arial" w:hAnsi="Arial" w:cs="Arial"/>
                <w:color w:val="404040" w:themeColor="text1" w:themeTint="BF"/>
                <w:sz w:val="20"/>
                <w:szCs w:val="20"/>
              </w:rPr>
              <w:t xml:space="preserve"> reliability &gt;0.85</w:t>
            </w:r>
          </w:p>
          <w:p w14:paraId="7B3CCA25"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26"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A27" w14:textId="77777777" w:rsidR="006E14ED" w:rsidRPr="00ED438F" w:rsidRDefault="006E14ED" w:rsidP="00AB5C99">
            <w:pPr>
              <w:pStyle w:val="NoSpacing"/>
              <w:ind w:left="5"/>
              <w:rPr>
                <w:rFonts w:ascii="Arial" w:hAnsi="Arial" w:cs="Arial"/>
                <w:color w:val="404040" w:themeColor="text1" w:themeTint="BF"/>
                <w:sz w:val="20"/>
                <w:szCs w:val="20"/>
              </w:rPr>
            </w:pPr>
          </w:p>
          <w:p w14:paraId="7B3CCA28" w14:textId="77777777" w:rsidR="00EC7D09" w:rsidRPr="00ED438F" w:rsidRDefault="00EC7D09" w:rsidP="00EC7D09">
            <w:pPr>
              <w:pStyle w:val="NoSpacing"/>
              <w:numPr>
                <w:ilvl w:val="0"/>
                <w:numId w:val="13"/>
              </w:numPr>
              <w:ind w:left="5"/>
              <w:rPr>
                <w:rFonts w:ascii="Arial" w:hAnsi="Arial" w:cs="Arial"/>
                <w:color w:val="404040" w:themeColor="text1" w:themeTint="BF"/>
                <w:sz w:val="20"/>
                <w:szCs w:val="20"/>
              </w:rPr>
            </w:pPr>
            <w:r>
              <w:rPr>
                <w:rFonts w:ascii="Arial" w:hAnsi="Arial" w:cs="Arial"/>
                <w:color w:val="404040" w:themeColor="text1" w:themeTint="BF"/>
                <w:sz w:val="20"/>
                <w:szCs w:val="20"/>
              </w:rPr>
              <w:t xml:space="preserve">The </w:t>
            </w:r>
            <w:r w:rsidR="006E14ED" w:rsidRPr="00ED438F">
              <w:rPr>
                <w:rFonts w:ascii="Arial" w:hAnsi="Arial" w:cs="Arial"/>
                <w:color w:val="404040" w:themeColor="text1" w:themeTint="BF"/>
                <w:sz w:val="20"/>
                <w:szCs w:val="20"/>
              </w:rPr>
              <w:t>Test-Retest</w:t>
            </w:r>
            <w:r>
              <w:rPr>
                <w:rFonts w:ascii="Arial" w:hAnsi="Arial" w:cs="Arial"/>
                <w:color w:val="404040" w:themeColor="text1" w:themeTint="BF"/>
                <w:sz w:val="20"/>
                <w:szCs w:val="20"/>
              </w:rPr>
              <w:t xml:space="preserve"> stability data is taken from the US standardisation study…the Raven’s 2 was administered twice to 239 individuals, with test-retest intervals ranging from 21-64 days. Reliability coefficients all .81+</w:t>
            </w:r>
            <w:r w:rsidR="006E14ED" w:rsidRPr="00ED438F">
              <w:rPr>
                <w:rFonts w:ascii="Arial" w:hAnsi="Arial" w:cs="Arial"/>
                <w:color w:val="404040" w:themeColor="text1" w:themeTint="BF"/>
                <w:sz w:val="20"/>
                <w:szCs w:val="20"/>
              </w:rPr>
              <w:t xml:space="preserve"> </w:t>
            </w:r>
          </w:p>
          <w:p w14:paraId="7B3CCA29" w14:textId="77777777" w:rsidR="006E14ED" w:rsidRPr="00ED438F" w:rsidRDefault="006E14ED" w:rsidP="00EC7D09">
            <w:pPr>
              <w:pStyle w:val="NoSpacing"/>
              <w:ind w:left="365"/>
              <w:rPr>
                <w:rFonts w:ascii="Arial" w:hAnsi="Arial" w:cs="Arial"/>
                <w:color w:val="404040" w:themeColor="text1" w:themeTint="BF"/>
                <w:sz w:val="20"/>
                <w:szCs w:val="20"/>
              </w:rPr>
            </w:pPr>
          </w:p>
        </w:tc>
      </w:tr>
      <w:tr w:rsidR="006E14ED" w:rsidRPr="00ED438F" w14:paraId="7B3CCA2D" w14:textId="77777777" w:rsidTr="00AB5C99">
        <w:tc>
          <w:tcPr>
            <w:tcW w:w="3397" w:type="dxa"/>
          </w:tcPr>
          <w:p w14:paraId="7B3CCA2B" w14:textId="77777777" w:rsidR="006E14ED" w:rsidRPr="00ED438F" w:rsidRDefault="006E14ED" w:rsidP="00AB5C99">
            <w:pPr>
              <w:spacing w:after="0" w:line="240" w:lineRule="auto"/>
              <w:rPr>
                <w:rFonts w:ascii="Arial" w:hAnsi="Arial" w:cs="Arial"/>
                <w:b/>
                <w:color w:val="404040" w:themeColor="text1" w:themeTint="BF"/>
                <w:sz w:val="20"/>
                <w:szCs w:val="20"/>
              </w:rPr>
            </w:pPr>
            <w:r w:rsidRPr="00ED438F">
              <w:rPr>
                <w:rFonts w:ascii="Arial" w:hAnsi="Arial" w:cs="Arial"/>
                <w:b/>
                <w:color w:val="404040" w:themeColor="text1" w:themeTint="BF"/>
                <w:sz w:val="20"/>
                <w:szCs w:val="20"/>
              </w:rPr>
              <w:t xml:space="preserve">SEM DATA, CONFIDENCE INTERVALS </w:t>
            </w:r>
          </w:p>
        </w:tc>
        <w:tc>
          <w:tcPr>
            <w:tcW w:w="5619" w:type="dxa"/>
          </w:tcPr>
          <w:p w14:paraId="7B3CCA2C" w14:textId="77777777" w:rsidR="006E14ED" w:rsidRPr="00ED438F" w:rsidRDefault="006E14ED" w:rsidP="00EC7D09">
            <w:pPr>
              <w:spacing w:after="0" w:line="240" w:lineRule="auto"/>
              <w:rPr>
                <w:rFonts w:ascii="Arial" w:hAnsi="Arial" w:cs="Arial"/>
                <w:color w:val="404040" w:themeColor="text1" w:themeTint="BF"/>
                <w:sz w:val="20"/>
                <w:szCs w:val="20"/>
              </w:rPr>
            </w:pPr>
            <w:r w:rsidRPr="00ED438F">
              <w:rPr>
                <w:rFonts w:ascii="Arial" w:hAnsi="Arial" w:cs="Arial"/>
                <w:color w:val="404040" w:themeColor="text1" w:themeTint="BF"/>
                <w:sz w:val="20"/>
                <w:szCs w:val="20"/>
              </w:rPr>
              <w:t>SEMs</w:t>
            </w:r>
            <w:r w:rsidR="00EC7D09">
              <w:rPr>
                <w:rFonts w:ascii="Arial" w:hAnsi="Arial" w:cs="Arial"/>
                <w:color w:val="404040" w:themeColor="text1" w:themeTint="BF"/>
                <w:sz w:val="20"/>
                <w:szCs w:val="20"/>
              </w:rPr>
              <w:t xml:space="preserve"> provided</w:t>
            </w:r>
            <w:r w:rsidRPr="00ED438F">
              <w:rPr>
                <w:rFonts w:ascii="Arial" w:hAnsi="Arial" w:cs="Arial"/>
                <w:color w:val="404040" w:themeColor="text1" w:themeTint="BF"/>
                <w:sz w:val="20"/>
                <w:szCs w:val="20"/>
              </w:rPr>
              <w:t xml:space="preserve"> </w:t>
            </w:r>
            <w:r w:rsidR="00EC7D09">
              <w:rPr>
                <w:rFonts w:ascii="Arial" w:hAnsi="Arial" w:cs="Arial"/>
                <w:color w:val="404040" w:themeColor="text1" w:themeTint="BF"/>
                <w:sz w:val="20"/>
                <w:szCs w:val="20"/>
              </w:rPr>
              <w:t>and</w:t>
            </w:r>
            <w:r w:rsidRPr="00ED438F">
              <w:rPr>
                <w:rFonts w:ascii="Arial" w:hAnsi="Arial" w:cs="Arial"/>
                <w:color w:val="404040" w:themeColor="text1" w:themeTint="BF"/>
                <w:sz w:val="20"/>
                <w:szCs w:val="20"/>
              </w:rPr>
              <w:t xml:space="preserve"> </w:t>
            </w:r>
            <w:r w:rsidR="00EC7D09">
              <w:rPr>
                <w:rFonts w:ascii="Arial" w:hAnsi="Arial" w:cs="Arial"/>
                <w:color w:val="404040" w:themeColor="text1" w:themeTint="BF"/>
                <w:sz w:val="20"/>
                <w:szCs w:val="20"/>
              </w:rPr>
              <w:t>c</w:t>
            </w:r>
            <w:r w:rsidRPr="00ED438F">
              <w:rPr>
                <w:rFonts w:ascii="Arial" w:hAnsi="Arial" w:cs="Arial"/>
                <w:color w:val="404040" w:themeColor="text1" w:themeTint="BF"/>
                <w:sz w:val="20"/>
                <w:szCs w:val="20"/>
              </w:rPr>
              <w:t xml:space="preserve">onfidence </w:t>
            </w:r>
            <w:r w:rsidR="00EC7D09">
              <w:rPr>
                <w:rFonts w:ascii="Arial" w:hAnsi="Arial" w:cs="Arial"/>
                <w:color w:val="404040" w:themeColor="text1" w:themeTint="BF"/>
                <w:sz w:val="20"/>
                <w:szCs w:val="20"/>
              </w:rPr>
              <w:t>i</w:t>
            </w:r>
            <w:r w:rsidRPr="00ED438F">
              <w:rPr>
                <w:rFonts w:ascii="Arial" w:hAnsi="Arial" w:cs="Arial"/>
                <w:color w:val="404040" w:themeColor="text1" w:themeTint="BF"/>
                <w:sz w:val="20"/>
                <w:szCs w:val="20"/>
              </w:rPr>
              <w:t xml:space="preserve">ntervals </w:t>
            </w:r>
            <w:r w:rsidR="00EC7D09">
              <w:rPr>
                <w:rFonts w:ascii="Arial" w:hAnsi="Arial" w:cs="Arial"/>
                <w:color w:val="404040" w:themeColor="text1" w:themeTint="BF"/>
                <w:sz w:val="20"/>
                <w:szCs w:val="20"/>
              </w:rPr>
              <w:t>easily calculated</w:t>
            </w:r>
            <w:r w:rsidRPr="00ED438F">
              <w:rPr>
                <w:rFonts w:ascii="Arial" w:hAnsi="Arial" w:cs="Arial"/>
                <w:color w:val="404040" w:themeColor="text1" w:themeTint="BF"/>
                <w:sz w:val="20"/>
                <w:szCs w:val="20"/>
              </w:rPr>
              <w:t>.</w:t>
            </w:r>
          </w:p>
        </w:tc>
      </w:tr>
    </w:tbl>
    <w:p w14:paraId="7B3CCA2E" w14:textId="77777777" w:rsidR="006E14ED" w:rsidRPr="00ED438F" w:rsidRDefault="006E14ED" w:rsidP="006E14ED">
      <w:pPr>
        <w:rPr>
          <w:rFonts w:ascii="Arial" w:hAnsi="Arial" w:cs="Arial"/>
          <w:color w:val="404040" w:themeColor="text1" w:themeTint="B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6E14ED" w:rsidRPr="00ED438F" w14:paraId="7B3CCA3E" w14:textId="77777777" w:rsidTr="00AB5C99">
        <w:trPr>
          <w:trHeight w:val="2082"/>
        </w:trPr>
        <w:tc>
          <w:tcPr>
            <w:tcW w:w="3397" w:type="dxa"/>
          </w:tcPr>
          <w:p w14:paraId="7B3CCA2F" w14:textId="73F9B667" w:rsidR="006E14ED" w:rsidRPr="009C0427" w:rsidRDefault="000074FB" w:rsidP="00AB5C99">
            <w:p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Points to consider:</w:t>
            </w:r>
          </w:p>
          <w:p w14:paraId="7B3CCA30"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1"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2"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3"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4"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5"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6" w14:textId="77777777" w:rsidR="006E14ED" w:rsidRPr="00ED438F" w:rsidRDefault="006E14ED" w:rsidP="00AB5C99">
            <w:pPr>
              <w:spacing w:after="0" w:line="240" w:lineRule="auto"/>
              <w:rPr>
                <w:rFonts w:ascii="Arial" w:hAnsi="Arial" w:cs="Arial"/>
                <w:color w:val="404040" w:themeColor="text1" w:themeTint="BF"/>
                <w:sz w:val="20"/>
                <w:szCs w:val="20"/>
              </w:rPr>
            </w:pPr>
          </w:p>
          <w:p w14:paraId="7B3CCA37" w14:textId="77777777" w:rsidR="006E14ED" w:rsidRPr="00ED438F" w:rsidRDefault="006E14ED" w:rsidP="00AB5C99">
            <w:pPr>
              <w:spacing w:after="0" w:line="240" w:lineRule="auto"/>
              <w:rPr>
                <w:rFonts w:ascii="Arial" w:hAnsi="Arial" w:cs="Arial"/>
                <w:color w:val="404040" w:themeColor="text1" w:themeTint="BF"/>
                <w:sz w:val="20"/>
                <w:szCs w:val="20"/>
              </w:rPr>
            </w:pPr>
          </w:p>
        </w:tc>
        <w:tc>
          <w:tcPr>
            <w:tcW w:w="5619" w:type="dxa"/>
          </w:tcPr>
          <w:p w14:paraId="7B3CCA38" w14:textId="77777777" w:rsidR="006E14ED" w:rsidRDefault="00A5657F" w:rsidP="00A5657F">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Requires minimal verbal instruction and no spoken or written </w:t>
            </w:r>
            <w:r w:rsidR="00466349">
              <w:rPr>
                <w:rFonts w:ascii="Arial" w:hAnsi="Arial" w:cs="Arial"/>
                <w:color w:val="404040" w:themeColor="text1" w:themeTint="BF"/>
                <w:sz w:val="20"/>
                <w:szCs w:val="20"/>
              </w:rPr>
              <w:t>responses</w:t>
            </w:r>
            <w:r>
              <w:rPr>
                <w:rFonts w:ascii="Arial" w:hAnsi="Arial" w:cs="Arial"/>
                <w:color w:val="404040" w:themeColor="text1" w:themeTint="BF"/>
                <w:sz w:val="20"/>
                <w:szCs w:val="20"/>
              </w:rPr>
              <w:t>, thus minimising</w:t>
            </w:r>
            <w:r w:rsidR="00B427BE">
              <w:rPr>
                <w:rFonts w:ascii="Arial" w:hAnsi="Arial" w:cs="Arial"/>
                <w:color w:val="404040" w:themeColor="text1" w:themeTint="BF"/>
                <w:sz w:val="20"/>
                <w:szCs w:val="20"/>
              </w:rPr>
              <w:t xml:space="preserve"> (but not eliminating)</w:t>
            </w:r>
            <w:r w:rsidR="00454382">
              <w:rPr>
                <w:rFonts w:ascii="Arial" w:hAnsi="Arial" w:cs="Arial"/>
                <w:color w:val="404040" w:themeColor="text1" w:themeTint="BF"/>
                <w:sz w:val="20"/>
                <w:szCs w:val="20"/>
              </w:rPr>
              <w:t xml:space="preserve"> the</w:t>
            </w:r>
            <w:r>
              <w:rPr>
                <w:rFonts w:ascii="Arial" w:hAnsi="Arial" w:cs="Arial"/>
                <w:color w:val="404040" w:themeColor="text1" w:themeTint="BF"/>
                <w:sz w:val="20"/>
                <w:szCs w:val="20"/>
              </w:rPr>
              <w:t xml:space="preserve"> impact that language skills and cultural backgrounds may have on test performance.</w:t>
            </w:r>
          </w:p>
          <w:p w14:paraId="7B3CCA39" w14:textId="77777777" w:rsidR="00A5657F" w:rsidRDefault="00A5657F" w:rsidP="00A5657F">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Can be used to assess through the full range of cognitive ability</w:t>
            </w:r>
            <w:r w:rsidR="00385561">
              <w:rPr>
                <w:rFonts w:ascii="Arial" w:hAnsi="Arial" w:cs="Arial"/>
                <w:color w:val="404040" w:themeColor="text1" w:themeTint="BF"/>
                <w:sz w:val="20"/>
                <w:szCs w:val="20"/>
              </w:rPr>
              <w:t xml:space="preserve"> and across a wide age–range.</w:t>
            </w:r>
          </w:p>
          <w:p w14:paraId="7B3CCA3A" w14:textId="77777777" w:rsidR="00A5657F" w:rsidRDefault="00A5657F" w:rsidP="00A5657F">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Digital testing enhances test security by allowing each examinee to take a unique set of items randomly selected from a large item bank. </w:t>
            </w:r>
            <w:r w:rsidR="00385561">
              <w:rPr>
                <w:rFonts w:ascii="Arial" w:hAnsi="Arial" w:cs="Arial"/>
                <w:color w:val="404040" w:themeColor="text1" w:themeTint="BF"/>
                <w:sz w:val="20"/>
                <w:szCs w:val="20"/>
              </w:rPr>
              <w:t>Assessors who use Q-Global can generate scores and r</w:t>
            </w:r>
            <w:r w:rsidR="00B427BE">
              <w:rPr>
                <w:rFonts w:ascii="Arial" w:hAnsi="Arial" w:cs="Arial"/>
                <w:color w:val="404040" w:themeColor="text1" w:themeTint="BF"/>
                <w:sz w:val="20"/>
                <w:szCs w:val="20"/>
              </w:rPr>
              <w:t xml:space="preserve">eports very quickly. </w:t>
            </w:r>
          </w:p>
          <w:p w14:paraId="7B3CCA3B" w14:textId="77777777" w:rsidR="00B427BE" w:rsidRDefault="00B427BE" w:rsidP="00A5657F">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Manual scoring and administration </w:t>
            </w:r>
            <w:proofErr w:type="gramStart"/>
            <w:r>
              <w:rPr>
                <w:rFonts w:ascii="Arial" w:hAnsi="Arial" w:cs="Arial"/>
                <w:color w:val="404040" w:themeColor="text1" w:themeTint="BF"/>
                <w:sz w:val="20"/>
                <w:szCs w:val="20"/>
              </w:rPr>
              <w:t>is</w:t>
            </w:r>
            <w:proofErr w:type="gramEnd"/>
            <w:r>
              <w:rPr>
                <w:rFonts w:ascii="Arial" w:hAnsi="Arial" w:cs="Arial"/>
                <w:color w:val="404040" w:themeColor="text1" w:themeTint="BF"/>
                <w:sz w:val="20"/>
                <w:szCs w:val="20"/>
              </w:rPr>
              <w:t xml:space="preserve"> very straight-forward. </w:t>
            </w:r>
          </w:p>
          <w:p w14:paraId="7B3CCA3C" w14:textId="77777777" w:rsidR="00385561" w:rsidRDefault="00385561" w:rsidP="00385561">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A measure of non-verbal ability, this test claims also to be a good </w:t>
            </w:r>
            <w:r w:rsidRPr="00385561">
              <w:rPr>
                <w:rFonts w:ascii="Arial" w:hAnsi="Arial" w:cs="Arial"/>
                <w:b/>
                <w:i/>
                <w:color w:val="404040" w:themeColor="text1" w:themeTint="BF"/>
                <w:sz w:val="20"/>
                <w:szCs w:val="20"/>
              </w:rPr>
              <w:t>general</w:t>
            </w:r>
            <w:r>
              <w:rPr>
                <w:rFonts w:ascii="Arial" w:hAnsi="Arial" w:cs="Arial"/>
                <w:color w:val="404040" w:themeColor="text1" w:themeTint="BF"/>
                <w:sz w:val="20"/>
                <w:szCs w:val="20"/>
              </w:rPr>
              <w:t xml:space="preserve"> indicator of intelligence (but not academic ability).</w:t>
            </w:r>
          </w:p>
          <w:p w14:paraId="0A761045" w14:textId="77777777" w:rsidR="00B427BE" w:rsidRDefault="00B427BE" w:rsidP="00B427BE">
            <w:pPr>
              <w:pStyle w:val="ListParagraph"/>
              <w:numPr>
                <w:ilvl w:val="0"/>
                <w:numId w:val="5"/>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The test is not designed to identify an individual with a specific learning difficulty, although it is valid for assessing individuals with an intellectual disability or those in a gifted category.</w:t>
            </w:r>
          </w:p>
          <w:p w14:paraId="3DA016AE" w14:textId="77777777" w:rsidR="000074FB" w:rsidRDefault="000074FB" w:rsidP="000074FB">
            <w:pPr>
              <w:pStyle w:val="ListParagraph"/>
              <w:numPr>
                <w:ilvl w:val="0"/>
                <w:numId w:val="4"/>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The paper form of the test for adults lasts 45 minutes and can be rather arduous to complete. Adults will quickly realise that test items are getting progressively more difficult and unless positively oriented towards this type of task, may quickly feel discouraged, as once the instructions are given, the assessor has no further input until the task is complete. The short form of the digital test is slightly less reliable than the long digital form but still has reasonably good reliability and, as part of a wider assessment session, might be more accessible to the individual tested.</w:t>
            </w:r>
          </w:p>
          <w:p w14:paraId="7B3CCA3D" w14:textId="209A5B6F" w:rsidR="000074FB" w:rsidRPr="000074FB" w:rsidRDefault="000074FB" w:rsidP="000074FB">
            <w:pPr>
              <w:pStyle w:val="ListParagraph"/>
              <w:numPr>
                <w:ilvl w:val="0"/>
                <w:numId w:val="4"/>
              </w:numPr>
              <w:spacing w:after="0" w:line="240" w:lineRule="auto"/>
              <w:rPr>
                <w:rFonts w:ascii="Arial" w:hAnsi="Arial" w:cs="Arial"/>
                <w:color w:val="404040" w:themeColor="text1" w:themeTint="BF"/>
                <w:sz w:val="20"/>
                <w:szCs w:val="20"/>
              </w:rPr>
            </w:pPr>
            <w:r>
              <w:rPr>
                <w:rFonts w:ascii="Arial" w:hAnsi="Arial" w:cs="Arial"/>
                <w:color w:val="404040" w:themeColor="text1" w:themeTint="BF"/>
                <w:sz w:val="20"/>
                <w:szCs w:val="20"/>
              </w:rPr>
              <w:t xml:space="preserve">The test is explicitly </w:t>
            </w:r>
            <w:r w:rsidRPr="00D3092A">
              <w:rPr>
                <w:rFonts w:ascii="Arial" w:hAnsi="Arial" w:cs="Arial"/>
                <w:b/>
                <w:color w:val="404040" w:themeColor="text1" w:themeTint="BF"/>
                <w:sz w:val="20"/>
                <w:szCs w:val="20"/>
              </w:rPr>
              <w:t>not suitable</w:t>
            </w:r>
            <w:r>
              <w:rPr>
                <w:rFonts w:ascii="Arial" w:hAnsi="Arial" w:cs="Arial"/>
                <w:color w:val="404040" w:themeColor="text1" w:themeTint="BF"/>
                <w:sz w:val="20"/>
                <w:szCs w:val="20"/>
              </w:rPr>
              <w:t xml:space="preserve"> for remote assessment via video-conferencing platforms. </w:t>
            </w:r>
          </w:p>
        </w:tc>
      </w:tr>
    </w:tbl>
    <w:p w14:paraId="7B3CCA5D" w14:textId="77777777" w:rsidR="000074FB" w:rsidRDefault="000074FB"/>
    <w:sectPr w:rsidR="000074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3961"/>
    <w:multiLevelType w:val="hybridMultilevel"/>
    <w:tmpl w:val="72A6A64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C3CD4"/>
    <w:multiLevelType w:val="hybridMultilevel"/>
    <w:tmpl w:val="E774F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96DBA"/>
    <w:multiLevelType w:val="hybridMultilevel"/>
    <w:tmpl w:val="B474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176CA"/>
    <w:multiLevelType w:val="hybridMultilevel"/>
    <w:tmpl w:val="0308C208"/>
    <w:lvl w:ilvl="0" w:tplc="547EE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E6A2B"/>
    <w:multiLevelType w:val="hybridMultilevel"/>
    <w:tmpl w:val="CFCC3F70"/>
    <w:lvl w:ilvl="0" w:tplc="3DBA9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6F5F39"/>
    <w:multiLevelType w:val="hybridMultilevel"/>
    <w:tmpl w:val="EF6ED51E"/>
    <w:lvl w:ilvl="0" w:tplc="4C3E5700">
      <w:start w:val="1"/>
      <w:numFmt w:val="decimal"/>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6" w15:restartNumberingAfterBreak="0">
    <w:nsid w:val="36AF26E1"/>
    <w:multiLevelType w:val="hybridMultilevel"/>
    <w:tmpl w:val="7C622D34"/>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7" w15:restartNumberingAfterBreak="0">
    <w:nsid w:val="37D17E14"/>
    <w:multiLevelType w:val="hybridMultilevel"/>
    <w:tmpl w:val="90243ECE"/>
    <w:lvl w:ilvl="0" w:tplc="89A2A730">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F584C6A"/>
    <w:multiLevelType w:val="hybridMultilevel"/>
    <w:tmpl w:val="8E2E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9310A1"/>
    <w:multiLevelType w:val="hybridMultilevel"/>
    <w:tmpl w:val="3B06A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B84639"/>
    <w:multiLevelType w:val="hybridMultilevel"/>
    <w:tmpl w:val="3C22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71170C"/>
    <w:multiLevelType w:val="hybridMultilevel"/>
    <w:tmpl w:val="DBBA0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712B2C"/>
    <w:multiLevelType w:val="hybridMultilevel"/>
    <w:tmpl w:val="CFF81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4A2FA4"/>
    <w:multiLevelType w:val="hybridMultilevel"/>
    <w:tmpl w:val="C4B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77F80"/>
    <w:multiLevelType w:val="hybridMultilevel"/>
    <w:tmpl w:val="67C206DE"/>
    <w:lvl w:ilvl="0" w:tplc="8EBC3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04A6E"/>
    <w:multiLevelType w:val="hybridMultilevel"/>
    <w:tmpl w:val="4F5E39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A57156"/>
    <w:multiLevelType w:val="hybridMultilevel"/>
    <w:tmpl w:val="86AA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D41460"/>
    <w:multiLevelType w:val="hybridMultilevel"/>
    <w:tmpl w:val="E078EA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48541313">
    <w:abstractNumId w:val="1"/>
  </w:num>
  <w:num w:numId="2" w16cid:durableId="368998568">
    <w:abstractNumId w:val="17"/>
  </w:num>
  <w:num w:numId="3" w16cid:durableId="415593944">
    <w:abstractNumId w:val="7"/>
  </w:num>
  <w:num w:numId="4" w16cid:durableId="366180936">
    <w:abstractNumId w:val="0"/>
  </w:num>
  <w:num w:numId="5" w16cid:durableId="45685349">
    <w:abstractNumId w:val="15"/>
  </w:num>
  <w:num w:numId="6" w16cid:durableId="1122655804">
    <w:abstractNumId w:val="16"/>
  </w:num>
  <w:num w:numId="7" w16cid:durableId="1022824870">
    <w:abstractNumId w:val="10"/>
  </w:num>
  <w:num w:numId="8" w16cid:durableId="471677026">
    <w:abstractNumId w:val="8"/>
  </w:num>
  <w:num w:numId="9" w16cid:durableId="1815562958">
    <w:abstractNumId w:val="12"/>
  </w:num>
  <w:num w:numId="10" w16cid:durableId="2102096173">
    <w:abstractNumId w:val="3"/>
  </w:num>
  <w:num w:numId="11" w16cid:durableId="517235671">
    <w:abstractNumId w:val="14"/>
  </w:num>
  <w:num w:numId="12" w16cid:durableId="2139685441">
    <w:abstractNumId w:val="6"/>
  </w:num>
  <w:num w:numId="13" w16cid:durableId="264313535">
    <w:abstractNumId w:val="5"/>
  </w:num>
  <w:num w:numId="14" w16cid:durableId="1962371298">
    <w:abstractNumId w:val="2"/>
  </w:num>
  <w:num w:numId="15" w16cid:durableId="525027815">
    <w:abstractNumId w:val="4"/>
  </w:num>
  <w:num w:numId="16" w16cid:durableId="608439886">
    <w:abstractNumId w:val="13"/>
  </w:num>
  <w:num w:numId="17" w16cid:durableId="166479540">
    <w:abstractNumId w:val="9"/>
  </w:num>
  <w:num w:numId="18" w16cid:durableId="653266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4ED"/>
    <w:rsid w:val="000074FB"/>
    <w:rsid w:val="000D71F3"/>
    <w:rsid w:val="00107FD4"/>
    <w:rsid w:val="00110EFA"/>
    <w:rsid w:val="0012050A"/>
    <w:rsid w:val="0023774C"/>
    <w:rsid w:val="00250953"/>
    <w:rsid w:val="00385561"/>
    <w:rsid w:val="00454382"/>
    <w:rsid w:val="00466349"/>
    <w:rsid w:val="004B45BE"/>
    <w:rsid w:val="005616E8"/>
    <w:rsid w:val="00584991"/>
    <w:rsid w:val="005A5801"/>
    <w:rsid w:val="00614A0B"/>
    <w:rsid w:val="006C7436"/>
    <w:rsid w:val="006E14ED"/>
    <w:rsid w:val="00727703"/>
    <w:rsid w:val="007C0911"/>
    <w:rsid w:val="00887496"/>
    <w:rsid w:val="009028C6"/>
    <w:rsid w:val="009E67E9"/>
    <w:rsid w:val="00A41FFD"/>
    <w:rsid w:val="00A5657F"/>
    <w:rsid w:val="00B072AC"/>
    <w:rsid w:val="00B12252"/>
    <w:rsid w:val="00B427BE"/>
    <w:rsid w:val="00B93CE4"/>
    <w:rsid w:val="00D20D4C"/>
    <w:rsid w:val="00D3092A"/>
    <w:rsid w:val="00D85977"/>
    <w:rsid w:val="00EC7D09"/>
    <w:rsid w:val="00F1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C99B"/>
  <w15:chartTrackingRefBased/>
  <w15:docId w15:val="{1C41B81C-B64D-4FD6-AFE2-37F85A84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4ED"/>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14ED"/>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14ED"/>
    <w:pPr>
      <w:spacing w:after="0" w:line="240" w:lineRule="auto"/>
    </w:pPr>
    <w:rPr>
      <w:rFonts w:ascii="Calibri" w:eastAsia="Times New Roman" w:hAnsi="Calibri" w:cs="Times New Roman"/>
      <w:lang w:eastAsia="en-GB"/>
    </w:rPr>
  </w:style>
  <w:style w:type="paragraph" w:styleId="ListParagraph">
    <w:name w:val="List Paragraph"/>
    <w:basedOn w:val="Normal"/>
    <w:uiPriority w:val="34"/>
    <w:qFormat/>
    <w:rsid w:val="006E14ED"/>
    <w:pPr>
      <w:ind w:left="720"/>
      <w:contextualSpacing/>
    </w:pPr>
  </w:style>
  <w:style w:type="character" w:styleId="CommentReference">
    <w:name w:val="annotation reference"/>
    <w:basedOn w:val="DefaultParagraphFont"/>
    <w:uiPriority w:val="99"/>
    <w:semiHidden/>
    <w:unhideWhenUsed/>
    <w:rsid w:val="006E14ED"/>
    <w:rPr>
      <w:sz w:val="16"/>
      <w:szCs w:val="16"/>
    </w:rPr>
  </w:style>
  <w:style w:type="paragraph" w:styleId="CommentText">
    <w:name w:val="annotation text"/>
    <w:basedOn w:val="Normal"/>
    <w:link w:val="CommentTextChar"/>
    <w:uiPriority w:val="99"/>
    <w:semiHidden/>
    <w:unhideWhenUsed/>
    <w:rsid w:val="006E14ED"/>
    <w:pPr>
      <w:spacing w:line="240" w:lineRule="auto"/>
    </w:pPr>
    <w:rPr>
      <w:sz w:val="20"/>
      <w:szCs w:val="20"/>
    </w:rPr>
  </w:style>
  <w:style w:type="character" w:customStyle="1" w:styleId="CommentTextChar">
    <w:name w:val="Comment Text Char"/>
    <w:basedOn w:val="DefaultParagraphFont"/>
    <w:link w:val="CommentText"/>
    <w:uiPriority w:val="99"/>
    <w:semiHidden/>
    <w:rsid w:val="006E14ED"/>
    <w:rPr>
      <w:rFonts w:ascii="Calibri" w:eastAsia="Times New Roman" w:hAnsi="Calibri" w:cs="Times New Roman"/>
      <w:sz w:val="20"/>
      <w:szCs w:val="20"/>
      <w:lang w:eastAsia="en-GB"/>
    </w:rPr>
  </w:style>
  <w:style w:type="paragraph" w:styleId="BalloonText">
    <w:name w:val="Balloon Text"/>
    <w:basedOn w:val="Normal"/>
    <w:link w:val="BalloonTextChar"/>
    <w:uiPriority w:val="99"/>
    <w:semiHidden/>
    <w:unhideWhenUsed/>
    <w:rsid w:val="006E1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4ED"/>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1554</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Holden</dc:creator>
  <cp:keywords/>
  <dc:description/>
  <cp:lastModifiedBy>Amy Birtwistle</cp:lastModifiedBy>
  <cp:revision>2</cp:revision>
  <dcterms:created xsi:type="dcterms:W3CDTF">2025-03-06T13:33:00Z</dcterms:created>
  <dcterms:modified xsi:type="dcterms:W3CDTF">2025-03-06T13:33:00Z</dcterms:modified>
</cp:coreProperties>
</file>